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svgz" ContentType="image/svg+xml"/>
  <Override PartName="/word/media/rId34.svgz" ContentType="image/svg+xml"/>
  <Override PartName="/word/media/rId20.svgz" ContentType="image/svg+xml"/>
  <Override PartName="/word/media/rId30.svgz" ContentType="image/svg+xml"/>
  <Override PartName="/word/media/rId27.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Metrics</w:t>
      </w:r>
    </w:p>
    <w:p>
      <w:pPr>
        <w:pStyle w:val="FirstParagraph"/>
      </w:pPr>
      <w:r>
        <w:rPr>
          <w:iCs/>
          <w:i/>
          <w:bCs/>
          <w:b/>
        </w:rPr>
        <w:t xml:space="preserve">Evaluating food web metrics</w:t>
      </w:r>
      <w:r>
        <w:t xml:space="preserve"> </w:t>
      </w:r>
      <w:r>
        <w:t xml:space="preserve">for wildlife communities across different forest types allows us to assess current conditions and predict how wildlife communities may respond to different stressors associated with environmental change. The following are a short list of example metrics and what they can tell us about the composition, structure, and resilience of a community.  </w:t>
      </w:r>
    </w:p>
    <w:bookmarkStart w:id="26" w:name="richness"/>
    <w:p>
      <w:pPr>
        <w:pStyle w:val="Heading1"/>
      </w:pPr>
      <w:r>
        <w:t xml:space="preserve">Richness</w:t>
      </w:r>
    </w:p>
    <w:p>
      <w:pPr>
        <w:pStyle w:val="FirstParagraph"/>
      </w:pPr>
      <w:r>
        <w:rPr>
          <w:bCs/>
          <w:b/>
        </w:rPr>
        <w:t xml:space="preserve">Species richness</w:t>
      </w:r>
      <w:r>
        <w:t xml:space="preserve">, describes the number of species in a community. More species is generally good, however, species richness alone does not necessarily mean that a community is more stable.</w:t>
      </w:r>
    </w:p>
    <w:p>
      <w:pPr>
        <w:pStyle w:val="BodyText"/>
      </w:pPr>
      <w:r>
        <w:drawing>
          <wp:inline>
            <wp:extent cx="4000500" cy="2752725"/>
            <wp:effectExtent b="0" l="0" r="0" t="0"/>
            <wp:docPr descr="" title="" id="21" name="Picture"/>
            <a:graphic>
              <a:graphicData uri="http://schemas.openxmlformats.org/drawingml/2006/picture">
                <pic:pic>
                  <pic:nvPicPr>
                    <pic:cNvPr descr="SVG_images/Metric_SpeciesRichness.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4000500" cy="2752725"/>
                    </a:xfrm>
                    <a:prstGeom prst="rect">
                      <a:avLst/>
                    </a:prstGeom>
                    <a:noFill/>
                    <a:ln w="9525">
                      <a:noFill/>
                      <a:headEnd/>
                      <a:tailEnd/>
                    </a:ln>
                  </pic:spPr>
                </pic:pic>
              </a:graphicData>
            </a:graphic>
          </wp:inline>
        </w:drawing>
      </w:r>
    </w:p>
    <w:p>
      <w:pPr>
        <w:pStyle w:val="BodyText"/>
      </w:pPr>
      <w:r>
        <w:t xml:space="preserve"> </w:t>
      </w:r>
    </w:p>
    <w:p>
      <w:pPr>
        <w:pStyle w:val="BodyText"/>
      </w:pPr>
      <w:r>
        <w:rPr>
          <w:bCs/>
          <w:b/>
        </w:rPr>
        <w:t xml:space="preserve">Guild richness</w:t>
      </w:r>
      <w:r>
        <w:t xml:space="preserve">, describes the number of guilds, or functional groups, present in the community. Guilds are groups of species who have similar predator, prey, habits, and body size. Here, guilds are indicated by the large colored ovals.</w:t>
      </w:r>
    </w:p>
    <w:p>
      <w:pPr>
        <w:pStyle w:val="BodyText"/>
      </w:pPr>
      <w:r>
        <w:drawing>
          <wp:inline>
            <wp:extent cx="3810000" cy="2540000"/>
            <wp:effectExtent b="0" l="0" r="0" t="0"/>
            <wp:docPr descr="" title="" id="24" name="Picture"/>
            <a:graphic>
              <a:graphicData uri="http://schemas.openxmlformats.org/drawingml/2006/picture">
                <pic:pic>
                  <pic:nvPicPr>
                    <pic:cNvPr descr="SVG_images/Metric_GuildRichness.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 </w:t>
      </w:r>
    </w:p>
    <w:bookmarkEnd w:id="26"/>
    <w:bookmarkStart w:id="37" w:name="more-metrics"/>
    <w:p>
      <w:pPr>
        <w:pStyle w:val="Heading1"/>
      </w:pPr>
      <w:r>
        <w:t xml:space="preserve">More metrics</w:t>
      </w:r>
    </w:p>
    <w:p>
      <w:pPr>
        <w:pStyle w:val="FirstParagraph"/>
      </w:pPr>
      <w:r>
        <w:rPr>
          <w:bCs/>
          <w:b/>
        </w:rPr>
        <w:t xml:space="preserve">Functional similarity</w:t>
      </w:r>
      <w:r>
        <w:t xml:space="preserve">, describes how similar species are in their function within the food web (i.e., their predator and prey relationships - species one (pink links) to species two (purple links)). Communities with high similarity (or redundancy) are considered to be more stable/resilient to random species loss. This is because if one species is lost then there is a high likelihood that there is another species in the community that will perform that role, and overall function will not decline.</w:t>
      </w:r>
    </w:p>
    <w:p>
      <w:pPr>
        <w:pStyle w:val="BodyText"/>
      </w:pPr>
      <w:r>
        <w:t xml:space="preserve">The inverse to similarity is dissimilarity.</w:t>
      </w:r>
      <w:r>
        <w:t xml:space="preserve"> </w:t>
      </w:r>
      <w:r>
        <w:rPr>
          <w:bCs/>
          <w:b/>
        </w:rPr>
        <w:t xml:space="preserve">Functional dissimilarity</w:t>
      </w:r>
      <w:r>
        <w:t xml:space="preserve"> </w:t>
      </w:r>
      <w:r>
        <w:t xml:space="preserve">describes how different species are in their functions within a community. If a community has a high functional dissimilarity that suggests that there is a high diversity of processes occurring within that community.</w:t>
      </w:r>
    </w:p>
    <w:p>
      <w:pPr>
        <w:pStyle w:val="BodyText"/>
      </w:pPr>
      <w:r>
        <w:drawing>
          <wp:inline>
            <wp:extent cx="4000500" cy="2752725"/>
            <wp:effectExtent b="0" l="0" r="0" t="0"/>
            <wp:docPr descr="" title="" id="28" name="Picture"/>
            <a:graphic>
              <a:graphicData uri="http://schemas.openxmlformats.org/drawingml/2006/picture">
                <pic:pic>
                  <pic:nvPicPr>
                    <pic:cNvPr descr="SVG_images/Metrics_Similarity.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4000500" cy="2752725"/>
                    </a:xfrm>
                    <a:prstGeom prst="rect">
                      <a:avLst/>
                    </a:prstGeom>
                    <a:noFill/>
                    <a:ln w="9525">
                      <a:noFill/>
                      <a:headEnd/>
                      <a:tailEnd/>
                    </a:ln>
                  </pic:spPr>
                </pic:pic>
              </a:graphicData>
            </a:graphic>
          </wp:inline>
        </w:drawing>
      </w:r>
    </w:p>
    <w:p>
      <w:pPr>
        <w:pStyle w:val="BodyText"/>
      </w:pPr>
      <w:r>
        <w:t xml:space="preserve"> </w:t>
      </w:r>
    </w:p>
    <w:p>
      <w:pPr>
        <w:pStyle w:val="BodyText"/>
      </w:pPr>
      <w:r>
        <w:rPr>
          <w:bCs/>
          <w:b/>
        </w:rPr>
        <w:t xml:space="preserve">Maximum chain length,</w:t>
      </w:r>
      <w:r>
        <w:t xml:space="preserve"> </w:t>
      </w:r>
      <w:r>
        <w:t xml:space="preserve">describes the number of links between a consumer species and a primary producer. Wildlife communities with long chain lengths, have top predators. These top predators can be more susceptible to anthropogenic change, and their loss may have cascading impacts on the rest of the community.</w:t>
      </w:r>
    </w:p>
    <w:p>
      <w:pPr>
        <w:pStyle w:val="BodyText"/>
      </w:pPr>
      <w:r>
        <w:drawing>
          <wp:inline>
            <wp:extent cx="4000500" cy="2752725"/>
            <wp:effectExtent b="0" l="0" r="0" t="0"/>
            <wp:docPr descr="" title="" id="31" name="Picture"/>
            <a:graphic>
              <a:graphicData uri="http://schemas.openxmlformats.org/drawingml/2006/picture">
                <pic:pic>
                  <pic:nvPicPr>
                    <pic:cNvPr descr="SVG_images/Metrics_MCL.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000500" cy="2752725"/>
                    </a:xfrm>
                    <a:prstGeom prst="rect">
                      <a:avLst/>
                    </a:prstGeom>
                    <a:noFill/>
                    <a:ln w="9525">
                      <a:noFill/>
                      <a:headEnd/>
                      <a:tailEnd/>
                    </a:ln>
                  </pic:spPr>
                </pic:pic>
              </a:graphicData>
            </a:graphic>
          </wp:inline>
        </w:drawing>
      </w:r>
    </w:p>
    <w:p>
      <w:pPr>
        <w:pStyle w:val="BodyText"/>
      </w:pPr>
      <w:r>
        <w:t xml:space="preserve"> </w:t>
      </w:r>
    </w:p>
    <w:p>
      <w:pPr>
        <w:pStyle w:val="BodyText"/>
      </w:pPr>
      <w:r>
        <w:rPr>
          <w:bCs/>
          <w:b/>
        </w:rPr>
        <w:t xml:space="preserve">Modularity,</w:t>
      </w:r>
      <w:r>
        <w:t xml:space="preserve"> </w:t>
      </w:r>
      <w:r>
        <w:t xml:space="preserve">describes the number of sub communities present in a community. Sub communities are made up of species who tend to interact with each other more than with other species within the community (indicated by the blue and pink polygons). Communities with high modularity are hypothesized to be more stable and less vulnerable to random species loss because if a species is loss, it’s impact is generally isolated to that subcommunity, and may not have cascading effects on the rest of the community.</w:t>
      </w:r>
    </w:p>
    <w:p>
      <w:pPr>
        <w:pStyle w:val="BodyText"/>
      </w:pPr>
      <w:r>
        <w:t xml:space="preserve">Currently we are estimating food webs at multiple spatial scales in the</w:t>
      </w:r>
      <w:r>
        <w:t xml:space="preserve"> </w:t>
      </w:r>
      <w:hyperlink r:id="rId33">
        <w:r>
          <w:rPr>
            <w:rStyle w:val="Hyperlink"/>
          </w:rPr>
          <w:t xml:space="preserve">Central Sierras</w:t>
        </w:r>
      </w:hyperlink>
      <w:r>
        <w:t xml:space="preserve"> </w:t>
      </w:r>
      <w:r>
        <w:t xml:space="preserve">with the potential for multiple applications relating to describing communities, management, and climate change.</w:t>
      </w:r>
    </w:p>
    <w:p>
      <w:pPr>
        <w:pStyle w:val="BodyText"/>
      </w:pPr>
      <w:r>
        <w:drawing>
          <wp:inline>
            <wp:extent cx="3810000" cy="2540000"/>
            <wp:effectExtent b="0" l="0" r="0" t="0"/>
            <wp:docPr descr="" title="" id="35" name="Picture"/>
            <a:graphic>
              <a:graphicData uri="http://schemas.openxmlformats.org/drawingml/2006/picture">
                <pic:pic>
                  <pic:nvPicPr>
                    <pic:cNvPr descr="SVG_images/Metric_Modularity.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3810000" cy="2540000"/>
                    </a:xfrm>
                    <a:prstGeom prst="rect">
                      <a:avLst/>
                    </a:prstGeom>
                    <a:noFill/>
                    <a:ln w="9525">
                      <a:noFill/>
                      <a:headEnd/>
                      <a:tailEnd/>
                    </a:ln>
                  </pic:spPr>
                </pic:pic>
              </a:graphicData>
            </a:graphic>
          </wp:inline>
        </w:drawing>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svgz" /><Relationship Type="http://schemas.openxmlformats.org/officeDocument/2006/relationships/image" Id="rId34" Target="media/rId34.svgz" /><Relationship Type="http://schemas.openxmlformats.org/officeDocument/2006/relationships/image" Id="rId20" Target="media/rId20.svgz" /><Relationship Type="http://schemas.openxmlformats.org/officeDocument/2006/relationships/image" Id="rId30" Target="media/rId30.svgz" /><Relationship Type="http://schemas.openxmlformats.org/officeDocument/2006/relationships/image" Id="rId27" Target="media/rId27.svgz" /><Relationship Type="http://schemas.openxmlformats.org/officeDocument/2006/relationships/hyperlink" Id="rId33" Target="central_sierras.qmd" TargetMode="External" /></Relationships>
</file>

<file path=word/_rels/footnotes.xml.rels><?xml version="1.0" encoding="UTF-8"?><Relationships xmlns="http://schemas.openxmlformats.org/package/2006/relationships"><Relationship Type="http://schemas.openxmlformats.org/officeDocument/2006/relationships/hyperlink" Id="rId33" Target="central_sierra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Metrics</dc:title>
  <dc:creator/>
  <cp:keywords/>
  <dcterms:created xsi:type="dcterms:W3CDTF">2023-08-24T23:18:49Z</dcterms:created>
  <dcterms:modified xsi:type="dcterms:W3CDTF">2023-08-24T23:18:49Z</dcterms:modified>
</cp:coreProperties>
</file>

<file path=docProps/custom.xml><?xml version="1.0" encoding="utf-8"?>
<Properties xmlns="http://schemas.openxmlformats.org/officeDocument/2006/custom-properties" xmlns:vt="http://schemas.openxmlformats.org/officeDocument/2006/docPropsVTypes"/>
</file>