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A6FF" w14:textId="77777777" w:rsidR="00D14E1B" w:rsidRDefault="00000000">
      <w:pPr>
        <w:spacing w:after="240"/>
        <w:jc w:val="center"/>
      </w:pPr>
      <w:r>
        <w:rPr>
          <w:b/>
          <w:sz w:val="28"/>
        </w:rPr>
        <w:t>Modelo PK/PD como referência para avaliação de machine learning na predição simulada de concentrações séricas de meropenem</w:t>
      </w:r>
    </w:p>
    <w:p w14:paraId="20015569" w14:textId="77777777" w:rsidR="00D14E1B" w:rsidRDefault="00000000">
      <w:pPr>
        <w:jc w:val="center"/>
      </w:pPr>
      <w:r>
        <w:rPr>
          <w:i/>
        </w:rPr>
        <w:t>Artigo metodológico com dados simulados</w:t>
      </w:r>
    </w:p>
    <w:p w14:paraId="6E366FA3" w14:textId="77777777" w:rsidR="00D14E1B" w:rsidRDefault="00000000">
      <w:pPr>
        <w:jc w:val="center"/>
      </w:pPr>
      <w:r>
        <w:t>[Nome do autor]</w:t>
      </w:r>
    </w:p>
    <w:p w14:paraId="3965BFE5" w14:textId="77777777" w:rsidR="00D14E1B" w:rsidRDefault="00D14E1B"/>
    <w:p w14:paraId="0F7F7B74" w14:textId="77777777" w:rsidR="00D14E1B" w:rsidRDefault="00000000">
      <w:pPr>
        <w:pStyle w:val="Ttulo1"/>
        <w:spacing w:before="240" w:after="120"/>
      </w:pPr>
      <w:r>
        <w:rPr>
          <w:rFonts w:ascii="Times New Roman" w:eastAsia="Times New Roman" w:hAnsi="Times New Roman"/>
          <w:sz w:val="26"/>
        </w:rPr>
        <w:t>Resumo</w:t>
      </w:r>
    </w:p>
    <w:p w14:paraId="28AFBAA7" w14:textId="77777777" w:rsidR="00D14E1B" w:rsidRDefault="00000000">
      <w:pPr>
        <w:spacing w:after="120" w:line="360" w:lineRule="auto"/>
      </w:pPr>
      <w:r>
        <w:t>A individualização posológica de antimicrobianos em pacientes críticos depende da integração entre parâmetros farmacocinéticos, alvos farmacodinâmicos e variáveis clínicas dinâmicas. O meropenem foi utilizado neste estudo como fármaco piloto para desenvolvimento de uma estrutura comparativa entre um modelo PK/PD de referência e algoritmos supervisionados de machine learning. O objetivo foi avaliar se modelos computacionais conseguem reproduzir concentrações séricas simuladas por um modelo farmacocinético mecanístico, sem atribuir a esses resultados valor de generalização clínica. A literatura farmacocinética de meropenem em pacientes críticos orientou a seleção dos parâmetros de calibração. A simulação gerou pacientes virtuais com variação de idade, peso, sexo, função renal, volume de distribuição, dose, intervalo e tempo de infusão. As concentrações foram calculadas por modelo monocompartimental com administração intravenosa intermitente e superposição de doses. A curva PK/PD forneceu a referência para pico, vale, AUC/MIC e T&gt;MIC. Quatro algoritmos foram comparados no conjunto de teste, BayesianRidge, LightGBM, Gradient Boosting e Random Forest. O desempenho foi avaliado por R², erro absoluto médio, raiz do erro quadrático médio e presença de intervalo de confiança. Os modelos baseados em árvores reproduziram as concentrações simuladas com desempenho elevado. O BayesianRidge apresentou menor ajuste global e forneceu estimativa de incerteza. Os resultados indicam que machine learning pode aproximar uma curva farmacocinética simulada em ambiente controlado. A validação externa com concentrações séricas observadas, horários reais de administração e função renal seriada permanece necessária antes de qualquer uso clínico.</w:t>
      </w:r>
    </w:p>
    <w:p w14:paraId="78986444" w14:textId="77777777" w:rsidR="00D14E1B" w:rsidRDefault="00000000">
      <w:pPr>
        <w:pStyle w:val="Ttulo1"/>
        <w:spacing w:before="240" w:after="120"/>
      </w:pPr>
      <w:r>
        <w:rPr>
          <w:rFonts w:ascii="Times New Roman" w:eastAsia="Times New Roman" w:hAnsi="Times New Roman"/>
          <w:sz w:val="26"/>
        </w:rPr>
        <w:t>Descritores</w:t>
      </w:r>
    </w:p>
    <w:p w14:paraId="094B8F79" w14:textId="77777777" w:rsidR="00D14E1B" w:rsidRDefault="00000000">
      <w:pPr>
        <w:spacing w:after="120" w:line="360" w:lineRule="auto"/>
      </w:pPr>
      <w:r>
        <w:t>meropenem. farmacocinética. farmacodinâmica. machine learning. concentração sérica. paciente crítico. dados simulados.</w:t>
      </w:r>
    </w:p>
    <w:p w14:paraId="32CBD7B8" w14:textId="77777777" w:rsidR="00D14E1B" w:rsidRDefault="00000000">
      <w:pPr>
        <w:pStyle w:val="Ttulo1"/>
        <w:spacing w:before="240" w:after="120"/>
      </w:pPr>
      <w:r>
        <w:rPr>
          <w:rFonts w:ascii="Times New Roman" w:eastAsia="Times New Roman" w:hAnsi="Times New Roman"/>
          <w:sz w:val="26"/>
        </w:rPr>
        <w:lastRenderedPageBreak/>
        <w:t>1. Introdução</w:t>
      </w:r>
    </w:p>
    <w:p w14:paraId="511F819D" w14:textId="77777777" w:rsidR="00D14E1B" w:rsidRDefault="00000000">
      <w:pPr>
        <w:spacing w:after="120" w:line="360" w:lineRule="auto"/>
      </w:pPr>
      <w:r>
        <w:t>A dose de antimicrobianos em pacientes críticos exige raciocínio farmacocinético aplicado ao paciente concreto. A doença crítica altera volume de distribuição, clearance renal, perfusão tecidual, ligação proteica e estabilidade hemodinâmica. Essas alterações modificam a concentração sérica obtida após uma mesma prescrição e reduzem a segurança de decisões baseadas apenas em esquemas fixos de dose [1,2].</w:t>
      </w:r>
    </w:p>
    <w:p w14:paraId="40BC40B9" w14:textId="77777777" w:rsidR="00D14E1B" w:rsidRDefault="00000000">
      <w:pPr>
        <w:spacing w:after="120" w:line="360" w:lineRule="auto"/>
      </w:pPr>
      <w:r>
        <w:t>O meropenem tem sido usado como exemplo frequente em estudos de farmacocinética aplicada à terapia intensiva por sua eliminação predominantemente renal, por sua ampla utilização contra bacilos Gram negativos e por sua relação farmacodinâmica com o tempo de exposição. A eficácia dos beta lactâmicos depende do tempo em que a fração livre da concentração permanece acima da concentração inibitória mínima. Esse índice é conhecido como T&gt;MIC [3,4]. Em regimes intermitentes, a queda do vale abaixo da MIC indica intervalo sem cobertura farmacodinâmica suficiente para o microrganismo considerado.</w:t>
      </w:r>
    </w:p>
    <w:p w14:paraId="110BC723" w14:textId="77777777" w:rsidR="00D14E1B" w:rsidRDefault="00000000">
      <w:pPr>
        <w:spacing w:after="120" w:line="360" w:lineRule="auto"/>
      </w:pPr>
      <w:r>
        <w:t>Modelos PK/PD descrevem a relação entre dose, concentração e alvo farmacodinâmico por equações que representam absorção, distribuição, metabolismo e eliminação. Em antimicrobianos intravenosos, a etapa de absorção pode ser substituída pela taxa de infusão. O modelo permite calcular a curva concentração tempo, o pico, o vale, a AUC e o T&gt;MIC. Esses resultados têm interpretação clínica direta, pois cada índice se relaciona a eficácia ou segurança.</w:t>
      </w:r>
    </w:p>
    <w:p w14:paraId="0BE33999" w14:textId="77777777" w:rsidR="00D14E1B" w:rsidRDefault="00000000">
      <w:pPr>
        <w:spacing w:after="120" w:line="360" w:lineRule="auto"/>
      </w:pPr>
      <w:r>
        <w:t>Modelos de machine learning seguem outra lógica. Eles recebem variáveis de entrada e ajustam padrões estatísticos capazes de aproximar um valor de saída [5,6]. No contexto deste estudo, a saída foi a concentração sérica simulada de meropenem. O algoritmo não substitui a farmacocinética. Ele aprende, a partir do conjunto de dados fornecido, a reproduzir a relação entre paciente, prescrição, tempo e concentração.</w:t>
      </w:r>
    </w:p>
    <w:p w14:paraId="272558AF" w14:textId="77777777" w:rsidR="00D14E1B" w:rsidRDefault="00000000">
      <w:pPr>
        <w:spacing w:after="120" w:line="360" w:lineRule="auto"/>
      </w:pPr>
      <w:r>
        <w:t xml:space="preserve">O objetivo deste artigo é apresentar uma estrutura metodológica para comparar um modelo PK/PD de referência com algoritmos de machine learning na predição simulada de concentrações séricas de meropenem. O meropenem foi utilizado como fármaco inicial para testar a arquitetura. A pergunta central não é se o algoritmo já prediz concentrações reais em pacientes críticos. A pergunta é se diferentes algoritmos conseguem reproduzir, em ambiente </w:t>
      </w:r>
      <w:r>
        <w:lastRenderedPageBreak/>
        <w:t>controlado, concentrações geradas por uma curva farmacocinética conhecida e como essa comparação deve ser interpretada.</w:t>
      </w:r>
    </w:p>
    <w:p w14:paraId="5EC7EA98" w14:textId="77777777" w:rsidR="00D14E1B" w:rsidRDefault="00000000">
      <w:pPr>
        <w:pStyle w:val="Ttulo1"/>
        <w:spacing w:before="240" w:after="120"/>
      </w:pPr>
      <w:r>
        <w:rPr>
          <w:rFonts w:ascii="Times New Roman" w:eastAsia="Times New Roman" w:hAnsi="Times New Roman"/>
          <w:sz w:val="26"/>
        </w:rPr>
        <w:t>2. Fundamento PK/PD usado como referência</w:t>
      </w:r>
    </w:p>
    <w:p w14:paraId="367FABD3" w14:textId="77777777" w:rsidR="00D14E1B" w:rsidRDefault="00000000">
      <w:pPr>
        <w:spacing w:after="120" w:line="360" w:lineRule="auto"/>
      </w:pPr>
      <w:r>
        <w:t>A farmacocinética descreve o movimento do fármaco no organismo. No modelo utilizado, a concentração sérica resulta da dose administrada, do volume de distribuição, do clearance, do intervalo entre doses e do tempo de infusão. O volume de distribuição expressa a relação entre a quantidade de fármaco no organismo e a concentração medida no plasma. O clearance expressa a capacidade de eliminação do fármaco por unidade de tempo. A constante de eliminação deriva da divisão do clearance pelo volume de distribuição.</w:t>
      </w:r>
    </w:p>
    <w:p w14:paraId="5AEF98FD" w14:textId="77777777" w:rsidR="00D14E1B" w:rsidRDefault="00000000">
      <w:pPr>
        <w:spacing w:after="120" w:line="360" w:lineRule="auto"/>
      </w:pPr>
      <w:r>
        <w:t>A curva concentração tempo foi calculada por modelo monocompartimental. Esse modelo assume que o fármaco se distribui em um compartimento central equivalente e que a eliminação segue comportamento exponencial. A administração intermitente foi representada pela entrada do fármaco durante o tempo de infusão. Cada nova dose soma sua contribuição às concentrações remanescentes das doses anteriores. Essa superposição permite representar acúmulo quando o clearance está reduzido.</w:t>
      </w:r>
    </w:p>
    <w:p w14:paraId="34CD0BDC" w14:textId="77777777" w:rsidR="00D14E1B" w:rsidRDefault="00000000">
      <w:pPr>
        <w:spacing w:after="120" w:line="360" w:lineRule="auto"/>
      </w:pPr>
      <w:r>
        <w:t>A farmacodinâmica relaciona concentração e efeito antimicrobiano. Para o meropenem, o alvo clássico é o T&gt;MIC. Esse índice calcula a porcentagem do intervalo posológico em que a concentração permanece acima da MIC. Um T&gt;MIC de 100 por cento indica que a curva ficou acima da MIC durante todo o intervalo avaliado. Um T&gt;MIC de 40 por cento indica que a curva ficou acima da MIC por 40 por cento do intervalo.</w:t>
      </w:r>
    </w:p>
    <w:p w14:paraId="394CCA9E" w14:textId="77777777" w:rsidR="00D14E1B" w:rsidRDefault="00000000">
      <w:pPr>
        <w:spacing w:after="120" w:line="360" w:lineRule="auto"/>
      </w:pPr>
      <w:r>
        <w:t>A interpretação isolada do T&gt;MIC pode perder informação quando o leitor observa a curva. Um vale abaixo da MIC indica que, no final do intervalo, a concentração já ficou abaixo da concentração necessária para inibir o microrganismo. Por esse motivo, a estrutura proposta avalia o T&gt;MIC e também verifica se o vale permaneceu acima da MIC. Esse segundo critério torna a leitura mais coerente com a curva exibida e evita que um regime seja classificado como adequado quando existe queda terminal relevante.</w:t>
      </w:r>
    </w:p>
    <w:p w14:paraId="5205E51E" w14:textId="77777777" w:rsidR="00D14E1B" w:rsidRDefault="00000000">
      <w:pPr>
        <w:pStyle w:val="Ttulo1"/>
        <w:spacing w:before="240" w:after="120"/>
      </w:pPr>
      <w:r>
        <w:rPr>
          <w:rFonts w:ascii="Times New Roman" w:eastAsia="Times New Roman" w:hAnsi="Times New Roman"/>
          <w:sz w:val="26"/>
        </w:rPr>
        <w:t>3. Revisão estruturada da literatura</w:t>
      </w:r>
    </w:p>
    <w:p w14:paraId="473381F2" w14:textId="77777777" w:rsidR="00D14E1B" w:rsidRDefault="00000000">
      <w:pPr>
        <w:spacing w:after="120" w:line="360" w:lineRule="auto"/>
      </w:pPr>
      <w:r>
        <w:t xml:space="preserve">A revisão da literatura teve função metodológica delimitada. Ela não foi utilizada para estimar eficácia clínica do meropenem, nem para comparar desfechos entre regimes. Sua finalidade foi </w:t>
      </w:r>
      <w:r>
        <w:lastRenderedPageBreak/>
        <w:t>reunir parâmetros farmacocinéticos capazes de orientar a simulação de pacientes virtuais [7,8]. Foram priorizados estudos de farmacocinética populacional de meropenem em pacientes críticos adultos, com dados de clearance, volume de distribuição, meia vida, função renal e regime de dose.</w:t>
      </w:r>
    </w:p>
    <w:p w14:paraId="1E0CF6C9" w14:textId="77777777" w:rsidR="00D14E1B" w:rsidRDefault="00000000">
      <w:pPr>
        <w:spacing w:after="120" w:line="360" w:lineRule="auto"/>
      </w:pPr>
      <w:r>
        <w:t>A busca descrita no arquivo base utilizou Scopus e PubMed, com termos relacionados a meropenem, farmacocinética, farmacocinética populacional, clearance, paciente crítico e terapia intensiva. Foram considerados estudos publicados entre 2014 e 2025. O conjunto final incluiu 16 estudos com diferentes perfis clínicos, incluindo pacientes com sepse, clearance renal aumentado, insuficiência renal, obesidade e terapia renal substitutiva. Essa diversidade permitiu representar variação renal e posológica na simulação.</w:t>
      </w:r>
    </w:p>
    <w:p w14:paraId="726436A3" w14:textId="77777777" w:rsidR="00D14E1B" w:rsidRDefault="00000000">
      <w:pPr>
        <w:spacing w:after="120" w:line="360" w:lineRule="auto"/>
      </w:pPr>
      <w:r>
        <w:t>Os campos extraídos incluíram número de participantes, idade, peso, função renal, clearance do meropenem, volume de distribuição, meia vida, dose, intervalo e tempo de infusão. Campos ausentes foram mantidos sem imputação. Essa decisão reduz o risco de fabricar precisão artificial. A calibração usou valores populacionais compatíveis com os estudos disponíveis e preservou a interpretação de que o conjunto de dados final é simulado.</w:t>
      </w:r>
    </w:p>
    <w:p w14:paraId="0990FF35" w14:textId="77777777" w:rsidR="00D14E1B" w:rsidRDefault="00000000">
      <w:pPr>
        <w:spacing w:after="160" w:line="240" w:lineRule="auto"/>
      </w:pPr>
      <w:r>
        <w:rPr>
          <w:i/>
          <w:sz w:val="20"/>
        </w:rPr>
        <w:t>Quadro 1. Estudos usados como base farmacocinética para calibração do conjunto simulado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37"/>
        <w:gridCol w:w="3037"/>
        <w:gridCol w:w="3038"/>
      </w:tblGrid>
      <w:tr w:rsidR="00D14E1B" w14:paraId="3DCD8CE8" w14:textId="77777777">
        <w:trPr>
          <w:cantSplit/>
          <w:tblHeader/>
          <w:jc w:val="center"/>
        </w:trPr>
        <w:tc>
          <w:tcPr>
            <w:tcW w:w="3041" w:type="dxa"/>
            <w:shd w:val="clear" w:color="auto" w:fill="D9D9D9"/>
            <w:vAlign w:val="center"/>
          </w:tcPr>
          <w:p w14:paraId="1A9B4EA0" w14:textId="77777777" w:rsidR="00D14E1B" w:rsidRDefault="00000000">
            <w:pPr>
              <w:jc w:val="center"/>
            </w:pPr>
            <w:r>
              <w:rPr>
                <w:b/>
                <w:sz w:val="18"/>
              </w:rPr>
              <w:t>Autor</w:t>
            </w:r>
          </w:p>
        </w:tc>
        <w:tc>
          <w:tcPr>
            <w:tcW w:w="3041" w:type="dxa"/>
            <w:shd w:val="clear" w:color="auto" w:fill="D9D9D9"/>
            <w:vAlign w:val="center"/>
          </w:tcPr>
          <w:p w14:paraId="532416B5" w14:textId="77777777" w:rsidR="00D14E1B" w:rsidRDefault="00000000">
            <w:pPr>
              <w:jc w:val="center"/>
            </w:pPr>
            <w:r>
              <w:rPr>
                <w:b/>
                <w:sz w:val="18"/>
              </w:rPr>
              <w:t>Ano</w:t>
            </w:r>
          </w:p>
        </w:tc>
        <w:tc>
          <w:tcPr>
            <w:tcW w:w="3041" w:type="dxa"/>
            <w:shd w:val="clear" w:color="auto" w:fill="D9D9D9"/>
            <w:vAlign w:val="center"/>
          </w:tcPr>
          <w:p w14:paraId="2A87FBA4" w14:textId="77777777" w:rsidR="00D14E1B" w:rsidRDefault="00000000">
            <w:pPr>
              <w:jc w:val="center"/>
            </w:pPr>
            <w:r>
              <w:rPr>
                <w:b/>
                <w:sz w:val="18"/>
              </w:rPr>
              <w:t>Foco do estudo</w:t>
            </w:r>
          </w:p>
        </w:tc>
      </w:tr>
      <w:tr w:rsidR="00D14E1B" w14:paraId="3DF1E9AC" w14:textId="77777777">
        <w:trPr>
          <w:cantSplit/>
          <w:jc w:val="center"/>
        </w:trPr>
        <w:tc>
          <w:tcPr>
            <w:tcW w:w="3041" w:type="dxa"/>
            <w:vAlign w:val="center"/>
          </w:tcPr>
          <w:p w14:paraId="11A38151" w14:textId="77777777" w:rsidR="00D14E1B" w:rsidRDefault="00000000">
            <w:r>
              <w:rPr>
                <w:sz w:val="17"/>
              </w:rPr>
              <w:t>Gonçalves Pereira et al.</w:t>
            </w:r>
          </w:p>
        </w:tc>
        <w:tc>
          <w:tcPr>
            <w:tcW w:w="3041" w:type="dxa"/>
            <w:vAlign w:val="center"/>
          </w:tcPr>
          <w:p w14:paraId="48A4BC85" w14:textId="77777777" w:rsidR="00D14E1B" w:rsidRDefault="00000000">
            <w:r>
              <w:rPr>
                <w:sz w:val="17"/>
              </w:rPr>
              <w:t>2014</w:t>
            </w:r>
          </w:p>
        </w:tc>
        <w:tc>
          <w:tcPr>
            <w:tcW w:w="3041" w:type="dxa"/>
            <w:vAlign w:val="center"/>
          </w:tcPr>
          <w:p w14:paraId="72E107B7" w14:textId="77777777" w:rsidR="00D14E1B" w:rsidRDefault="00000000">
            <w:r>
              <w:rPr>
                <w:sz w:val="17"/>
              </w:rPr>
              <w:t>Sepse em UTI geral</w:t>
            </w:r>
          </w:p>
        </w:tc>
      </w:tr>
      <w:tr w:rsidR="00D14E1B" w14:paraId="6B699B90" w14:textId="77777777">
        <w:trPr>
          <w:cantSplit/>
          <w:jc w:val="center"/>
        </w:trPr>
        <w:tc>
          <w:tcPr>
            <w:tcW w:w="3041" w:type="dxa"/>
            <w:vAlign w:val="center"/>
          </w:tcPr>
          <w:p w14:paraId="049E3E6F" w14:textId="77777777" w:rsidR="00D14E1B" w:rsidRDefault="00000000">
            <w:r>
              <w:rPr>
                <w:sz w:val="17"/>
              </w:rPr>
              <w:t>Alobaid et al.</w:t>
            </w:r>
          </w:p>
        </w:tc>
        <w:tc>
          <w:tcPr>
            <w:tcW w:w="3041" w:type="dxa"/>
            <w:vAlign w:val="center"/>
          </w:tcPr>
          <w:p w14:paraId="45CDDEB9" w14:textId="77777777" w:rsidR="00D14E1B" w:rsidRDefault="00000000">
            <w:r>
              <w:rPr>
                <w:sz w:val="17"/>
              </w:rPr>
              <w:t>2016</w:t>
            </w:r>
          </w:p>
        </w:tc>
        <w:tc>
          <w:tcPr>
            <w:tcW w:w="3041" w:type="dxa"/>
            <w:vAlign w:val="center"/>
          </w:tcPr>
          <w:p w14:paraId="05E6341B" w14:textId="77777777" w:rsidR="00D14E1B" w:rsidRDefault="00000000">
            <w:r>
              <w:rPr>
                <w:sz w:val="17"/>
              </w:rPr>
              <w:t>Obesidade em UTI</w:t>
            </w:r>
          </w:p>
        </w:tc>
      </w:tr>
      <w:tr w:rsidR="00D14E1B" w14:paraId="7B74BF2D" w14:textId="77777777">
        <w:trPr>
          <w:cantSplit/>
          <w:jc w:val="center"/>
        </w:trPr>
        <w:tc>
          <w:tcPr>
            <w:tcW w:w="3041" w:type="dxa"/>
            <w:vAlign w:val="center"/>
          </w:tcPr>
          <w:p w14:paraId="4D81E683" w14:textId="77777777" w:rsidR="00D14E1B" w:rsidRDefault="00000000">
            <w:r>
              <w:rPr>
                <w:sz w:val="17"/>
              </w:rPr>
              <w:t>Mattioli et al.</w:t>
            </w:r>
          </w:p>
        </w:tc>
        <w:tc>
          <w:tcPr>
            <w:tcW w:w="3041" w:type="dxa"/>
            <w:vAlign w:val="center"/>
          </w:tcPr>
          <w:p w14:paraId="0B750B88" w14:textId="77777777" w:rsidR="00D14E1B" w:rsidRDefault="00000000">
            <w:r>
              <w:rPr>
                <w:sz w:val="17"/>
              </w:rPr>
              <w:t>2016</w:t>
            </w:r>
          </w:p>
        </w:tc>
        <w:tc>
          <w:tcPr>
            <w:tcW w:w="3041" w:type="dxa"/>
            <w:vAlign w:val="center"/>
          </w:tcPr>
          <w:p w14:paraId="24480F03" w14:textId="77777777" w:rsidR="00D14E1B" w:rsidRDefault="00000000">
            <w:r>
              <w:rPr>
                <w:sz w:val="17"/>
              </w:rPr>
              <w:t>UTI geral e atingimento de alvo</w:t>
            </w:r>
          </w:p>
        </w:tc>
      </w:tr>
      <w:tr w:rsidR="00D14E1B" w14:paraId="66555850" w14:textId="77777777">
        <w:trPr>
          <w:cantSplit/>
          <w:jc w:val="center"/>
        </w:trPr>
        <w:tc>
          <w:tcPr>
            <w:tcW w:w="3041" w:type="dxa"/>
            <w:vAlign w:val="center"/>
          </w:tcPr>
          <w:p w14:paraId="48D7206D" w14:textId="77777777" w:rsidR="00D14E1B" w:rsidRDefault="00000000">
            <w:r>
              <w:rPr>
                <w:sz w:val="17"/>
              </w:rPr>
              <w:t>Tsai et al.</w:t>
            </w:r>
          </w:p>
        </w:tc>
        <w:tc>
          <w:tcPr>
            <w:tcW w:w="3041" w:type="dxa"/>
            <w:vAlign w:val="center"/>
          </w:tcPr>
          <w:p w14:paraId="0003D1D7" w14:textId="77777777" w:rsidR="00D14E1B" w:rsidRDefault="00000000">
            <w:r>
              <w:rPr>
                <w:sz w:val="17"/>
              </w:rPr>
              <w:t>2016</w:t>
            </w:r>
          </w:p>
        </w:tc>
        <w:tc>
          <w:tcPr>
            <w:tcW w:w="3041" w:type="dxa"/>
            <w:vAlign w:val="center"/>
          </w:tcPr>
          <w:p w14:paraId="2D95C939" w14:textId="77777777" w:rsidR="00D14E1B" w:rsidRDefault="00000000">
            <w:r>
              <w:rPr>
                <w:sz w:val="17"/>
              </w:rPr>
              <w:t>UTI geral com clearance aumentado e insuficiência renal</w:t>
            </w:r>
          </w:p>
        </w:tc>
      </w:tr>
      <w:tr w:rsidR="00D14E1B" w14:paraId="042E113A" w14:textId="77777777">
        <w:trPr>
          <w:cantSplit/>
          <w:jc w:val="center"/>
        </w:trPr>
        <w:tc>
          <w:tcPr>
            <w:tcW w:w="3041" w:type="dxa"/>
            <w:vAlign w:val="center"/>
          </w:tcPr>
          <w:p w14:paraId="7329DD19" w14:textId="77777777" w:rsidR="00D14E1B" w:rsidRDefault="00000000">
            <w:r>
              <w:rPr>
                <w:sz w:val="17"/>
              </w:rPr>
              <w:t>Cies et al.</w:t>
            </w:r>
          </w:p>
        </w:tc>
        <w:tc>
          <w:tcPr>
            <w:tcW w:w="3041" w:type="dxa"/>
            <w:vAlign w:val="center"/>
          </w:tcPr>
          <w:p w14:paraId="2813FD1F" w14:textId="77777777" w:rsidR="00D14E1B" w:rsidRDefault="00000000">
            <w:r>
              <w:rPr>
                <w:sz w:val="17"/>
              </w:rPr>
              <w:t>2017</w:t>
            </w:r>
          </w:p>
        </w:tc>
        <w:tc>
          <w:tcPr>
            <w:tcW w:w="3041" w:type="dxa"/>
            <w:vAlign w:val="center"/>
          </w:tcPr>
          <w:p w14:paraId="21E25D9D" w14:textId="77777777" w:rsidR="00D14E1B" w:rsidRDefault="00000000">
            <w:r>
              <w:rPr>
                <w:sz w:val="17"/>
              </w:rPr>
              <w:t>UTI pediátrica</w:t>
            </w:r>
          </w:p>
        </w:tc>
      </w:tr>
      <w:tr w:rsidR="00D14E1B" w14:paraId="4428D62C" w14:textId="77777777">
        <w:trPr>
          <w:cantSplit/>
          <w:jc w:val="center"/>
        </w:trPr>
        <w:tc>
          <w:tcPr>
            <w:tcW w:w="3041" w:type="dxa"/>
            <w:vAlign w:val="center"/>
          </w:tcPr>
          <w:p w14:paraId="76579298" w14:textId="77777777" w:rsidR="00D14E1B" w:rsidRDefault="00000000">
            <w:r>
              <w:rPr>
                <w:sz w:val="17"/>
              </w:rPr>
              <w:t>Braune et al.</w:t>
            </w:r>
          </w:p>
        </w:tc>
        <w:tc>
          <w:tcPr>
            <w:tcW w:w="3041" w:type="dxa"/>
            <w:vAlign w:val="center"/>
          </w:tcPr>
          <w:p w14:paraId="189FB7B9" w14:textId="77777777" w:rsidR="00D14E1B" w:rsidRDefault="00000000">
            <w:r>
              <w:rPr>
                <w:sz w:val="17"/>
              </w:rPr>
              <w:t>2018</w:t>
            </w:r>
          </w:p>
        </w:tc>
        <w:tc>
          <w:tcPr>
            <w:tcW w:w="3041" w:type="dxa"/>
            <w:vAlign w:val="center"/>
          </w:tcPr>
          <w:p w14:paraId="4257FA44" w14:textId="77777777" w:rsidR="00D14E1B" w:rsidRDefault="00000000">
            <w:r>
              <w:rPr>
                <w:sz w:val="17"/>
              </w:rPr>
              <w:t>Hemodiálise sustentada de baixa eficiência</w:t>
            </w:r>
          </w:p>
        </w:tc>
      </w:tr>
      <w:tr w:rsidR="00D14E1B" w14:paraId="61E4C6D0" w14:textId="77777777">
        <w:trPr>
          <w:cantSplit/>
          <w:jc w:val="center"/>
        </w:trPr>
        <w:tc>
          <w:tcPr>
            <w:tcW w:w="3041" w:type="dxa"/>
            <w:vAlign w:val="center"/>
          </w:tcPr>
          <w:p w14:paraId="6DAD3D28" w14:textId="77777777" w:rsidR="00D14E1B" w:rsidRDefault="00000000">
            <w:r>
              <w:rPr>
                <w:sz w:val="17"/>
              </w:rPr>
              <w:t>Delattre et al.</w:t>
            </w:r>
          </w:p>
        </w:tc>
        <w:tc>
          <w:tcPr>
            <w:tcW w:w="3041" w:type="dxa"/>
            <w:vAlign w:val="center"/>
          </w:tcPr>
          <w:p w14:paraId="2A102C4E" w14:textId="77777777" w:rsidR="00D14E1B" w:rsidRDefault="00000000">
            <w:r>
              <w:rPr>
                <w:sz w:val="17"/>
              </w:rPr>
              <w:t>2020</w:t>
            </w:r>
          </w:p>
        </w:tc>
        <w:tc>
          <w:tcPr>
            <w:tcW w:w="3041" w:type="dxa"/>
            <w:vAlign w:val="center"/>
          </w:tcPr>
          <w:p w14:paraId="49808114" w14:textId="77777777" w:rsidR="00D14E1B" w:rsidRDefault="00000000">
            <w:r>
              <w:rPr>
                <w:sz w:val="17"/>
              </w:rPr>
              <w:t>UTI com disfunção orgânica múltipla</w:t>
            </w:r>
          </w:p>
        </w:tc>
      </w:tr>
      <w:tr w:rsidR="00D14E1B" w14:paraId="304D7307" w14:textId="77777777">
        <w:trPr>
          <w:cantSplit/>
          <w:jc w:val="center"/>
        </w:trPr>
        <w:tc>
          <w:tcPr>
            <w:tcW w:w="3041" w:type="dxa"/>
            <w:vAlign w:val="center"/>
          </w:tcPr>
          <w:p w14:paraId="20ABFEA5" w14:textId="77777777" w:rsidR="00D14E1B" w:rsidRDefault="00000000">
            <w:r>
              <w:rPr>
                <w:sz w:val="17"/>
              </w:rPr>
              <w:t>Cojutti et al.</w:t>
            </w:r>
          </w:p>
        </w:tc>
        <w:tc>
          <w:tcPr>
            <w:tcW w:w="3041" w:type="dxa"/>
            <w:vAlign w:val="center"/>
          </w:tcPr>
          <w:p w14:paraId="0154B4B2" w14:textId="77777777" w:rsidR="00D14E1B" w:rsidRDefault="00000000">
            <w:r>
              <w:rPr>
                <w:sz w:val="17"/>
              </w:rPr>
              <w:t>2021</w:t>
            </w:r>
          </w:p>
        </w:tc>
        <w:tc>
          <w:tcPr>
            <w:tcW w:w="3041" w:type="dxa"/>
            <w:vAlign w:val="center"/>
          </w:tcPr>
          <w:p w14:paraId="29A4BF59" w14:textId="77777777" w:rsidR="00D14E1B" w:rsidRDefault="00000000">
            <w:r>
              <w:rPr>
                <w:sz w:val="17"/>
              </w:rPr>
              <w:t>Simulações de dosagem em UTI</w:t>
            </w:r>
          </w:p>
        </w:tc>
      </w:tr>
      <w:tr w:rsidR="00D14E1B" w14:paraId="0019577D" w14:textId="77777777">
        <w:trPr>
          <w:cantSplit/>
          <w:jc w:val="center"/>
        </w:trPr>
        <w:tc>
          <w:tcPr>
            <w:tcW w:w="3041" w:type="dxa"/>
            <w:vAlign w:val="center"/>
          </w:tcPr>
          <w:p w14:paraId="2642B3A4" w14:textId="77777777" w:rsidR="00D14E1B" w:rsidRDefault="00000000">
            <w:r>
              <w:rPr>
                <w:sz w:val="17"/>
              </w:rPr>
              <w:t>Lee DH et al.</w:t>
            </w:r>
          </w:p>
        </w:tc>
        <w:tc>
          <w:tcPr>
            <w:tcW w:w="3041" w:type="dxa"/>
            <w:vAlign w:val="center"/>
          </w:tcPr>
          <w:p w14:paraId="67F25F79" w14:textId="77777777" w:rsidR="00D14E1B" w:rsidRDefault="00000000">
            <w:r>
              <w:rPr>
                <w:sz w:val="17"/>
              </w:rPr>
              <w:t>2021</w:t>
            </w:r>
          </w:p>
        </w:tc>
        <w:tc>
          <w:tcPr>
            <w:tcW w:w="3041" w:type="dxa"/>
            <w:vAlign w:val="center"/>
          </w:tcPr>
          <w:p w14:paraId="584592B0" w14:textId="77777777" w:rsidR="00D14E1B" w:rsidRDefault="00000000">
            <w:r>
              <w:rPr>
                <w:sz w:val="17"/>
              </w:rPr>
              <w:t>UTI geral e infusão estendida</w:t>
            </w:r>
          </w:p>
        </w:tc>
      </w:tr>
      <w:tr w:rsidR="00D14E1B" w14:paraId="34E21FAC" w14:textId="77777777">
        <w:trPr>
          <w:cantSplit/>
          <w:jc w:val="center"/>
        </w:trPr>
        <w:tc>
          <w:tcPr>
            <w:tcW w:w="3041" w:type="dxa"/>
            <w:vAlign w:val="center"/>
          </w:tcPr>
          <w:p w14:paraId="673DF8F3" w14:textId="77777777" w:rsidR="00D14E1B" w:rsidRDefault="00000000">
            <w:r>
              <w:rPr>
                <w:sz w:val="17"/>
              </w:rPr>
              <w:t>Wang et al.</w:t>
            </w:r>
          </w:p>
        </w:tc>
        <w:tc>
          <w:tcPr>
            <w:tcW w:w="3041" w:type="dxa"/>
            <w:vAlign w:val="center"/>
          </w:tcPr>
          <w:p w14:paraId="4F84785D" w14:textId="77777777" w:rsidR="00D14E1B" w:rsidRDefault="00000000">
            <w:r>
              <w:rPr>
                <w:sz w:val="17"/>
              </w:rPr>
              <w:t>2021</w:t>
            </w:r>
          </w:p>
        </w:tc>
        <w:tc>
          <w:tcPr>
            <w:tcW w:w="3041" w:type="dxa"/>
            <w:vAlign w:val="center"/>
          </w:tcPr>
          <w:p w14:paraId="280A7974" w14:textId="77777777" w:rsidR="00D14E1B" w:rsidRDefault="00000000">
            <w:r>
              <w:rPr>
                <w:sz w:val="17"/>
              </w:rPr>
              <w:t>Variabilidade farmacocinética em UTI</w:t>
            </w:r>
          </w:p>
        </w:tc>
      </w:tr>
      <w:tr w:rsidR="00D14E1B" w14:paraId="7870F260" w14:textId="77777777">
        <w:trPr>
          <w:cantSplit/>
          <w:jc w:val="center"/>
        </w:trPr>
        <w:tc>
          <w:tcPr>
            <w:tcW w:w="3041" w:type="dxa"/>
            <w:vAlign w:val="center"/>
          </w:tcPr>
          <w:p w14:paraId="61E5DCBA" w14:textId="77777777" w:rsidR="00D14E1B" w:rsidRDefault="00000000">
            <w:r>
              <w:rPr>
                <w:sz w:val="17"/>
              </w:rPr>
              <w:t>Yonwises et al.</w:t>
            </w:r>
          </w:p>
        </w:tc>
        <w:tc>
          <w:tcPr>
            <w:tcW w:w="3041" w:type="dxa"/>
            <w:vAlign w:val="center"/>
          </w:tcPr>
          <w:p w14:paraId="4A51C434" w14:textId="77777777" w:rsidR="00D14E1B" w:rsidRDefault="00000000">
            <w:r>
              <w:rPr>
                <w:sz w:val="17"/>
              </w:rPr>
              <w:t>2021</w:t>
            </w:r>
          </w:p>
        </w:tc>
        <w:tc>
          <w:tcPr>
            <w:tcW w:w="3041" w:type="dxa"/>
            <w:vAlign w:val="center"/>
          </w:tcPr>
          <w:p w14:paraId="3DE0E9AA" w14:textId="77777777" w:rsidR="00D14E1B" w:rsidRDefault="00000000">
            <w:r>
              <w:rPr>
                <w:sz w:val="17"/>
              </w:rPr>
              <w:t>UTI geral e T&gt;MIC</w:t>
            </w:r>
          </w:p>
        </w:tc>
      </w:tr>
      <w:tr w:rsidR="00D14E1B" w14:paraId="685568DF" w14:textId="77777777">
        <w:trPr>
          <w:cantSplit/>
          <w:jc w:val="center"/>
        </w:trPr>
        <w:tc>
          <w:tcPr>
            <w:tcW w:w="3041" w:type="dxa"/>
            <w:vAlign w:val="center"/>
          </w:tcPr>
          <w:p w14:paraId="200F41FD" w14:textId="77777777" w:rsidR="00D14E1B" w:rsidRDefault="00000000">
            <w:r>
              <w:rPr>
                <w:sz w:val="17"/>
              </w:rPr>
              <w:lastRenderedPageBreak/>
              <w:t>Boonpeng et al.</w:t>
            </w:r>
          </w:p>
        </w:tc>
        <w:tc>
          <w:tcPr>
            <w:tcW w:w="3041" w:type="dxa"/>
            <w:vAlign w:val="center"/>
          </w:tcPr>
          <w:p w14:paraId="04635D28" w14:textId="77777777" w:rsidR="00D14E1B" w:rsidRDefault="00000000">
            <w:r>
              <w:rPr>
                <w:sz w:val="17"/>
              </w:rPr>
              <w:t>2022</w:t>
            </w:r>
          </w:p>
        </w:tc>
        <w:tc>
          <w:tcPr>
            <w:tcW w:w="3041" w:type="dxa"/>
            <w:vAlign w:val="center"/>
          </w:tcPr>
          <w:p w14:paraId="72F97DA0" w14:textId="77777777" w:rsidR="00D14E1B" w:rsidRDefault="00000000">
            <w:r>
              <w:rPr>
                <w:sz w:val="17"/>
              </w:rPr>
              <w:t>Clearance renal aumentado</w:t>
            </w:r>
          </w:p>
        </w:tc>
      </w:tr>
      <w:tr w:rsidR="00D14E1B" w14:paraId="0B4BC3DD" w14:textId="77777777">
        <w:trPr>
          <w:cantSplit/>
          <w:jc w:val="center"/>
        </w:trPr>
        <w:tc>
          <w:tcPr>
            <w:tcW w:w="3041" w:type="dxa"/>
            <w:vAlign w:val="center"/>
          </w:tcPr>
          <w:p w14:paraId="2FA515B2" w14:textId="77777777" w:rsidR="00D14E1B" w:rsidRDefault="00000000">
            <w:r>
              <w:rPr>
                <w:sz w:val="17"/>
              </w:rPr>
              <w:t>Kumta et al.</w:t>
            </w:r>
          </w:p>
        </w:tc>
        <w:tc>
          <w:tcPr>
            <w:tcW w:w="3041" w:type="dxa"/>
            <w:vAlign w:val="center"/>
          </w:tcPr>
          <w:p w14:paraId="6B3E099B" w14:textId="77777777" w:rsidR="00D14E1B" w:rsidRDefault="00000000">
            <w:r>
              <w:rPr>
                <w:sz w:val="17"/>
              </w:rPr>
              <w:t>2022</w:t>
            </w:r>
          </w:p>
        </w:tc>
        <w:tc>
          <w:tcPr>
            <w:tcW w:w="3041" w:type="dxa"/>
            <w:vAlign w:val="center"/>
          </w:tcPr>
          <w:p w14:paraId="46036523" w14:textId="77777777" w:rsidR="00D14E1B" w:rsidRDefault="00000000">
            <w:r>
              <w:rPr>
                <w:sz w:val="17"/>
              </w:rPr>
              <w:t>Dosagem individualizada em UTI</w:t>
            </w:r>
          </w:p>
        </w:tc>
      </w:tr>
      <w:tr w:rsidR="00D14E1B" w14:paraId="284EED75" w14:textId="77777777">
        <w:trPr>
          <w:cantSplit/>
          <w:jc w:val="center"/>
        </w:trPr>
        <w:tc>
          <w:tcPr>
            <w:tcW w:w="3041" w:type="dxa"/>
            <w:vAlign w:val="center"/>
          </w:tcPr>
          <w:p w14:paraId="74A5A815" w14:textId="77777777" w:rsidR="00D14E1B" w:rsidRDefault="00000000">
            <w:r>
              <w:rPr>
                <w:sz w:val="17"/>
              </w:rPr>
              <w:t>Niibe et al.</w:t>
            </w:r>
          </w:p>
        </w:tc>
        <w:tc>
          <w:tcPr>
            <w:tcW w:w="3041" w:type="dxa"/>
            <w:vAlign w:val="center"/>
          </w:tcPr>
          <w:p w14:paraId="122E33AE" w14:textId="77777777" w:rsidR="00D14E1B" w:rsidRDefault="00000000">
            <w:r>
              <w:rPr>
                <w:sz w:val="17"/>
              </w:rPr>
              <w:t>2022</w:t>
            </w:r>
          </w:p>
        </w:tc>
        <w:tc>
          <w:tcPr>
            <w:tcW w:w="3041" w:type="dxa"/>
            <w:vAlign w:val="center"/>
          </w:tcPr>
          <w:p w14:paraId="11814C0B" w14:textId="77777777" w:rsidR="00D14E1B" w:rsidRDefault="00000000">
            <w:r>
              <w:rPr>
                <w:sz w:val="17"/>
              </w:rPr>
              <w:t>Covariáveis farmacocinéticas em UTI japonesa</w:t>
            </w:r>
          </w:p>
        </w:tc>
      </w:tr>
      <w:tr w:rsidR="00D14E1B" w14:paraId="4BFA20BE" w14:textId="77777777">
        <w:trPr>
          <w:cantSplit/>
          <w:jc w:val="center"/>
        </w:trPr>
        <w:tc>
          <w:tcPr>
            <w:tcW w:w="3041" w:type="dxa"/>
            <w:vAlign w:val="center"/>
          </w:tcPr>
          <w:p w14:paraId="76F86277" w14:textId="77777777" w:rsidR="00D14E1B" w:rsidRDefault="00000000">
            <w:r>
              <w:rPr>
                <w:sz w:val="17"/>
              </w:rPr>
              <w:t>Rancic et al.</w:t>
            </w:r>
          </w:p>
        </w:tc>
        <w:tc>
          <w:tcPr>
            <w:tcW w:w="3041" w:type="dxa"/>
            <w:vAlign w:val="center"/>
          </w:tcPr>
          <w:p w14:paraId="31E65B94" w14:textId="77777777" w:rsidR="00D14E1B" w:rsidRDefault="00000000">
            <w:r>
              <w:rPr>
                <w:sz w:val="17"/>
              </w:rPr>
              <w:t>2024</w:t>
            </w:r>
          </w:p>
        </w:tc>
        <w:tc>
          <w:tcPr>
            <w:tcW w:w="3041" w:type="dxa"/>
            <w:vAlign w:val="center"/>
          </w:tcPr>
          <w:p w14:paraId="6D54096A" w14:textId="77777777" w:rsidR="00D14E1B" w:rsidRDefault="00000000">
            <w:r>
              <w:rPr>
                <w:sz w:val="17"/>
              </w:rPr>
              <w:t>Modelo populacional com NONMEM</w:t>
            </w:r>
          </w:p>
        </w:tc>
      </w:tr>
      <w:tr w:rsidR="00D14E1B" w14:paraId="4D73575F" w14:textId="77777777">
        <w:trPr>
          <w:cantSplit/>
          <w:jc w:val="center"/>
        </w:trPr>
        <w:tc>
          <w:tcPr>
            <w:tcW w:w="3041" w:type="dxa"/>
            <w:vAlign w:val="center"/>
          </w:tcPr>
          <w:p w14:paraId="55C6EEF7" w14:textId="77777777" w:rsidR="00D14E1B" w:rsidRDefault="00000000">
            <w:r>
              <w:rPr>
                <w:sz w:val="17"/>
              </w:rPr>
              <w:t>Weber et al.</w:t>
            </w:r>
          </w:p>
        </w:tc>
        <w:tc>
          <w:tcPr>
            <w:tcW w:w="3041" w:type="dxa"/>
            <w:vAlign w:val="center"/>
          </w:tcPr>
          <w:p w14:paraId="4BCA60AE" w14:textId="77777777" w:rsidR="00D14E1B" w:rsidRDefault="00000000">
            <w:r>
              <w:rPr>
                <w:sz w:val="17"/>
              </w:rPr>
              <w:t>2025</w:t>
            </w:r>
          </w:p>
        </w:tc>
        <w:tc>
          <w:tcPr>
            <w:tcW w:w="3041" w:type="dxa"/>
            <w:vAlign w:val="center"/>
          </w:tcPr>
          <w:p w14:paraId="2DEBE315" w14:textId="77777777" w:rsidR="00D14E1B" w:rsidRDefault="00000000">
            <w:r>
              <w:rPr>
                <w:sz w:val="17"/>
              </w:rPr>
              <w:t>Terapia renal substitutiva</w:t>
            </w:r>
          </w:p>
        </w:tc>
      </w:tr>
    </w:tbl>
    <w:p w14:paraId="5CEBC0EF" w14:textId="77777777" w:rsidR="00D14E1B" w:rsidRDefault="00000000">
      <w:pPr>
        <w:pStyle w:val="Ttulo1"/>
        <w:spacing w:before="240" w:after="120"/>
      </w:pPr>
      <w:r>
        <w:rPr>
          <w:rFonts w:ascii="Times New Roman" w:eastAsia="Times New Roman" w:hAnsi="Times New Roman"/>
          <w:sz w:val="26"/>
        </w:rPr>
        <w:t>4. Construção dos conjuntos de dados</w:t>
      </w:r>
    </w:p>
    <w:p w14:paraId="5B558077" w14:textId="77777777" w:rsidR="00D14E1B" w:rsidRDefault="00000000">
      <w:pPr>
        <w:spacing w:after="120" w:line="360" w:lineRule="auto"/>
      </w:pPr>
      <w:r>
        <w:t>O trabalho utiliza três níveis de dados. O primeiro nível corresponde ao conjunto de parâmetros extraídos da literatura. Esse conjunto reúne valores populacionais e informações de regime posológico. Ele serve como fonte de calibração.</w:t>
      </w:r>
    </w:p>
    <w:p w14:paraId="7A2E47CB" w14:textId="77777777" w:rsidR="00D14E1B" w:rsidRDefault="00000000">
      <w:pPr>
        <w:spacing w:after="120" w:line="360" w:lineRule="auto"/>
      </w:pPr>
      <w:r>
        <w:t>O segundo nível corresponde ao conjunto de pacientes virtuais. Cada paciente recebeu valores simulados de idade, peso, sexo, creatinina, clearance, volume de distribuição, dose, intervalo e tempo de infusão. A função renal recebeu papel central porque o meropenem é eliminado predominantemente pelos rins. O clearance do fármaco foi ajustado de acordo com o clearance de creatinina em relação a uma população de referência.</w:t>
      </w:r>
    </w:p>
    <w:p w14:paraId="5C852C88" w14:textId="77777777" w:rsidR="00D14E1B" w:rsidRDefault="00000000">
      <w:pPr>
        <w:spacing w:after="120" w:line="360" w:lineRule="auto"/>
      </w:pPr>
      <w:r>
        <w:t>O terceiro nível corresponde ao conjunto em formato longo. Nesse formato, cada linha representa uma concentração em um momento temporal específico. Um mesmo paciente gera várias linhas, uma para cada tempo de avaliação. Essa organização permite que o modelo aprenda a relação entre tempo e concentração. O arquivo base utilizou 400 pacientes virtuais e cinco momentos temporais, o que resultou em 2.000 observações.</w:t>
      </w:r>
    </w:p>
    <w:p w14:paraId="7C0A4BEC" w14:textId="77777777" w:rsidR="00D14E1B" w:rsidRDefault="00000000">
      <w:pPr>
        <w:spacing w:after="120" w:line="360" w:lineRule="auto"/>
      </w:pPr>
      <w:r>
        <w:t>A separação entre conjunto de treinamento e conjunto de teste foi feita para avaliar erro fora dos dados usados no ajuste. O conjunto de treinamento ensina o modelo. O conjunto de teste avalia a predição em observações reservadas. Quando várias linhas pertencem ao mesmo paciente, a divisão por paciente reduz o risco de vazamento de informação. O vazamento ocorre quando dados muito semelhantes do mesmo indivíduo aparecem em treinamento e teste, produzindo desempenho artificialmente elevado.</w:t>
      </w:r>
    </w:p>
    <w:p w14:paraId="320F99DE" w14:textId="77777777" w:rsidR="00D14E1B" w:rsidRDefault="00000000">
      <w:pPr>
        <w:spacing w:after="160" w:line="240" w:lineRule="auto"/>
      </w:pPr>
      <w:r>
        <w:rPr>
          <w:i/>
          <w:sz w:val="20"/>
        </w:rPr>
        <w:t>Tabela 1. Variáveis de entrada utilizadas pelos modelos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38"/>
        <w:gridCol w:w="3037"/>
        <w:gridCol w:w="3037"/>
      </w:tblGrid>
      <w:tr w:rsidR="00D14E1B" w14:paraId="540E20E9" w14:textId="77777777">
        <w:trPr>
          <w:cantSplit/>
          <w:tblHeader/>
          <w:jc w:val="center"/>
        </w:trPr>
        <w:tc>
          <w:tcPr>
            <w:tcW w:w="3041" w:type="dxa"/>
            <w:shd w:val="clear" w:color="auto" w:fill="D9D9D9"/>
            <w:vAlign w:val="center"/>
          </w:tcPr>
          <w:p w14:paraId="1B8E9A50" w14:textId="77777777" w:rsidR="00D14E1B" w:rsidRDefault="00000000">
            <w:pPr>
              <w:jc w:val="center"/>
            </w:pPr>
            <w:r>
              <w:rPr>
                <w:b/>
                <w:sz w:val="18"/>
              </w:rPr>
              <w:t>Variável</w:t>
            </w:r>
          </w:p>
        </w:tc>
        <w:tc>
          <w:tcPr>
            <w:tcW w:w="3041" w:type="dxa"/>
            <w:shd w:val="clear" w:color="auto" w:fill="D9D9D9"/>
            <w:vAlign w:val="center"/>
          </w:tcPr>
          <w:p w14:paraId="48C2BF89" w14:textId="77777777" w:rsidR="00D14E1B" w:rsidRDefault="00000000">
            <w:pPr>
              <w:jc w:val="center"/>
            </w:pPr>
            <w:r>
              <w:rPr>
                <w:b/>
                <w:sz w:val="18"/>
              </w:rPr>
              <w:t>Significado</w:t>
            </w:r>
          </w:p>
        </w:tc>
        <w:tc>
          <w:tcPr>
            <w:tcW w:w="3041" w:type="dxa"/>
            <w:shd w:val="clear" w:color="auto" w:fill="D9D9D9"/>
            <w:vAlign w:val="center"/>
          </w:tcPr>
          <w:p w14:paraId="723AC7C1" w14:textId="77777777" w:rsidR="00D14E1B" w:rsidRDefault="00000000">
            <w:pPr>
              <w:jc w:val="center"/>
            </w:pPr>
            <w:r>
              <w:rPr>
                <w:b/>
                <w:sz w:val="18"/>
              </w:rPr>
              <w:t>Unidade</w:t>
            </w:r>
          </w:p>
        </w:tc>
      </w:tr>
      <w:tr w:rsidR="00D14E1B" w14:paraId="64F5837F" w14:textId="77777777">
        <w:trPr>
          <w:cantSplit/>
          <w:jc w:val="center"/>
        </w:trPr>
        <w:tc>
          <w:tcPr>
            <w:tcW w:w="3041" w:type="dxa"/>
            <w:vAlign w:val="center"/>
          </w:tcPr>
          <w:p w14:paraId="3D1176C4" w14:textId="77777777" w:rsidR="00D14E1B" w:rsidRDefault="00000000">
            <w:r>
              <w:rPr>
                <w:sz w:val="17"/>
              </w:rPr>
              <w:lastRenderedPageBreak/>
              <w:t>idade</w:t>
            </w:r>
          </w:p>
        </w:tc>
        <w:tc>
          <w:tcPr>
            <w:tcW w:w="3041" w:type="dxa"/>
            <w:vAlign w:val="center"/>
          </w:tcPr>
          <w:p w14:paraId="62061B29" w14:textId="77777777" w:rsidR="00D14E1B" w:rsidRDefault="00000000">
            <w:r>
              <w:rPr>
                <w:sz w:val="17"/>
              </w:rPr>
              <w:t>Idade do paciente</w:t>
            </w:r>
          </w:p>
        </w:tc>
        <w:tc>
          <w:tcPr>
            <w:tcW w:w="3041" w:type="dxa"/>
            <w:vAlign w:val="center"/>
          </w:tcPr>
          <w:p w14:paraId="1F4CEB8F" w14:textId="77777777" w:rsidR="00D14E1B" w:rsidRDefault="00000000">
            <w:r>
              <w:rPr>
                <w:sz w:val="17"/>
              </w:rPr>
              <w:t>anos</w:t>
            </w:r>
          </w:p>
        </w:tc>
      </w:tr>
      <w:tr w:rsidR="00D14E1B" w14:paraId="5F5080E3" w14:textId="77777777">
        <w:trPr>
          <w:cantSplit/>
          <w:jc w:val="center"/>
        </w:trPr>
        <w:tc>
          <w:tcPr>
            <w:tcW w:w="3041" w:type="dxa"/>
            <w:vAlign w:val="center"/>
          </w:tcPr>
          <w:p w14:paraId="39C281F8" w14:textId="77777777" w:rsidR="00D14E1B" w:rsidRDefault="00000000">
            <w:r>
              <w:rPr>
                <w:sz w:val="17"/>
              </w:rPr>
              <w:t>peso_kg</w:t>
            </w:r>
          </w:p>
        </w:tc>
        <w:tc>
          <w:tcPr>
            <w:tcW w:w="3041" w:type="dxa"/>
            <w:vAlign w:val="center"/>
          </w:tcPr>
          <w:p w14:paraId="7600D0F8" w14:textId="77777777" w:rsidR="00D14E1B" w:rsidRDefault="00000000">
            <w:r>
              <w:rPr>
                <w:sz w:val="17"/>
              </w:rPr>
              <w:t>Peso corporal usado no cálculo</w:t>
            </w:r>
          </w:p>
        </w:tc>
        <w:tc>
          <w:tcPr>
            <w:tcW w:w="3041" w:type="dxa"/>
            <w:vAlign w:val="center"/>
          </w:tcPr>
          <w:p w14:paraId="185DBE0C" w14:textId="77777777" w:rsidR="00D14E1B" w:rsidRDefault="00000000">
            <w:r>
              <w:rPr>
                <w:sz w:val="17"/>
              </w:rPr>
              <w:t>kg</w:t>
            </w:r>
          </w:p>
        </w:tc>
      </w:tr>
      <w:tr w:rsidR="00D14E1B" w14:paraId="5733260E" w14:textId="77777777">
        <w:trPr>
          <w:cantSplit/>
          <w:jc w:val="center"/>
        </w:trPr>
        <w:tc>
          <w:tcPr>
            <w:tcW w:w="3041" w:type="dxa"/>
            <w:vAlign w:val="center"/>
          </w:tcPr>
          <w:p w14:paraId="2E6D7CF3" w14:textId="77777777" w:rsidR="00D14E1B" w:rsidRDefault="00000000">
            <w:r>
              <w:rPr>
                <w:sz w:val="17"/>
              </w:rPr>
              <w:t>sexo_num</w:t>
            </w:r>
          </w:p>
        </w:tc>
        <w:tc>
          <w:tcPr>
            <w:tcW w:w="3041" w:type="dxa"/>
            <w:vAlign w:val="center"/>
          </w:tcPr>
          <w:p w14:paraId="395F531D" w14:textId="77777777" w:rsidR="00D14E1B" w:rsidRDefault="00000000">
            <w:r>
              <w:rPr>
                <w:sz w:val="17"/>
              </w:rPr>
              <w:t>Sexo codificado em zero ou um</w:t>
            </w:r>
          </w:p>
        </w:tc>
        <w:tc>
          <w:tcPr>
            <w:tcW w:w="3041" w:type="dxa"/>
            <w:vAlign w:val="center"/>
          </w:tcPr>
          <w:p w14:paraId="19045B66" w14:textId="77777777" w:rsidR="00D14E1B" w:rsidRDefault="00000000">
            <w:r>
              <w:rPr>
                <w:sz w:val="17"/>
              </w:rPr>
              <w:t>binária</w:t>
            </w:r>
          </w:p>
        </w:tc>
      </w:tr>
      <w:tr w:rsidR="00D14E1B" w14:paraId="7A0E415A" w14:textId="77777777">
        <w:trPr>
          <w:cantSplit/>
          <w:jc w:val="center"/>
        </w:trPr>
        <w:tc>
          <w:tcPr>
            <w:tcW w:w="3041" w:type="dxa"/>
            <w:vAlign w:val="center"/>
          </w:tcPr>
          <w:p w14:paraId="6047C44C" w14:textId="77777777" w:rsidR="00D14E1B" w:rsidRDefault="00000000">
            <w:r>
              <w:rPr>
                <w:sz w:val="17"/>
              </w:rPr>
              <w:t>creat_basal</w:t>
            </w:r>
          </w:p>
        </w:tc>
        <w:tc>
          <w:tcPr>
            <w:tcW w:w="3041" w:type="dxa"/>
            <w:vAlign w:val="center"/>
          </w:tcPr>
          <w:p w14:paraId="3C426FF3" w14:textId="77777777" w:rsidR="00D14E1B" w:rsidRDefault="00000000">
            <w:r>
              <w:rPr>
                <w:sz w:val="17"/>
              </w:rPr>
              <w:t>Creatinina inicial</w:t>
            </w:r>
          </w:p>
        </w:tc>
        <w:tc>
          <w:tcPr>
            <w:tcW w:w="3041" w:type="dxa"/>
            <w:vAlign w:val="center"/>
          </w:tcPr>
          <w:p w14:paraId="5BCD9D09" w14:textId="77777777" w:rsidR="00D14E1B" w:rsidRDefault="00000000">
            <w:r>
              <w:rPr>
                <w:sz w:val="17"/>
              </w:rPr>
              <w:t>mg/dL</w:t>
            </w:r>
          </w:p>
        </w:tc>
      </w:tr>
      <w:tr w:rsidR="00D14E1B" w14:paraId="019D8964" w14:textId="77777777">
        <w:trPr>
          <w:cantSplit/>
          <w:jc w:val="center"/>
        </w:trPr>
        <w:tc>
          <w:tcPr>
            <w:tcW w:w="3041" w:type="dxa"/>
            <w:vAlign w:val="center"/>
          </w:tcPr>
          <w:p w14:paraId="0FEE06CB" w14:textId="77777777" w:rsidR="00D14E1B" w:rsidRDefault="00000000">
            <w:r>
              <w:rPr>
                <w:sz w:val="17"/>
              </w:rPr>
              <w:t>creat_atual</w:t>
            </w:r>
          </w:p>
        </w:tc>
        <w:tc>
          <w:tcPr>
            <w:tcW w:w="3041" w:type="dxa"/>
            <w:vAlign w:val="center"/>
          </w:tcPr>
          <w:p w14:paraId="39875F35" w14:textId="77777777" w:rsidR="00D14E1B" w:rsidRDefault="00000000">
            <w:r>
              <w:rPr>
                <w:sz w:val="17"/>
              </w:rPr>
              <w:t>Creatinina no tempo da predição</w:t>
            </w:r>
          </w:p>
        </w:tc>
        <w:tc>
          <w:tcPr>
            <w:tcW w:w="3041" w:type="dxa"/>
            <w:vAlign w:val="center"/>
          </w:tcPr>
          <w:p w14:paraId="195C3658" w14:textId="77777777" w:rsidR="00D14E1B" w:rsidRDefault="00000000">
            <w:r>
              <w:rPr>
                <w:sz w:val="17"/>
              </w:rPr>
              <w:t>mg/dL</w:t>
            </w:r>
          </w:p>
        </w:tc>
      </w:tr>
      <w:tr w:rsidR="00D14E1B" w14:paraId="289243FF" w14:textId="77777777">
        <w:trPr>
          <w:cantSplit/>
          <w:jc w:val="center"/>
        </w:trPr>
        <w:tc>
          <w:tcPr>
            <w:tcW w:w="3041" w:type="dxa"/>
            <w:vAlign w:val="center"/>
          </w:tcPr>
          <w:p w14:paraId="13AC7661" w14:textId="77777777" w:rsidR="00D14E1B" w:rsidRDefault="00000000">
            <w:r>
              <w:rPr>
                <w:sz w:val="17"/>
              </w:rPr>
              <w:t>vd_L_kg</w:t>
            </w:r>
          </w:p>
        </w:tc>
        <w:tc>
          <w:tcPr>
            <w:tcW w:w="3041" w:type="dxa"/>
            <w:vAlign w:val="center"/>
          </w:tcPr>
          <w:p w14:paraId="5A4631CB" w14:textId="77777777" w:rsidR="00D14E1B" w:rsidRDefault="00000000">
            <w:r>
              <w:rPr>
                <w:sz w:val="17"/>
              </w:rPr>
              <w:t>Volume de distribuição por peso</w:t>
            </w:r>
          </w:p>
        </w:tc>
        <w:tc>
          <w:tcPr>
            <w:tcW w:w="3041" w:type="dxa"/>
            <w:vAlign w:val="center"/>
          </w:tcPr>
          <w:p w14:paraId="51F113D2" w14:textId="77777777" w:rsidR="00D14E1B" w:rsidRDefault="00000000">
            <w:r>
              <w:rPr>
                <w:sz w:val="17"/>
              </w:rPr>
              <w:t>L/kg</w:t>
            </w:r>
          </w:p>
        </w:tc>
      </w:tr>
      <w:tr w:rsidR="00D14E1B" w14:paraId="226B3625" w14:textId="77777777">
        <w:trPr>
          <w:cantSplit/>
          <w:jc w:val="center"/>
        </w:trPr>
        <w:tc>
          <w:tcPr>
            <w:tcW w:w="3041" w:type="dxa"/>
            <w:vAlign w:val="center"/>
          </w:tcPr>
          <w:p w14:paraId="0E4745E9" w14:textId="77777777" w:rsidR="00D14E1B" w:rsidRDefault="00000000">
            <w:r>
              <w:rPr>
                <w:sz w:val="17"/>
              </w:rPr>
              <w:t>vd_total_L</w:t>
            </w:r>
          </w:p>
        </w:tc>
        <w:tc>
          <w:tcPr>
            <w:tcW w:w="3041" w:type="dxa"/>
            <w:vAlign w:val="center"/>
          </w:tcPr>
          <w:p w14:paraId="5F51BEEE" w14:textId="77777777" w:rsidR="00D14E1B" w:rsidRDefault="00000000">
            <w:r>
              <w:rPr>
                <w:sz w:val="17"/>
              </w:rPr>
              <w:t>Volume de distribuição total</w:t>
            </w:r>
          </w:p>
        </w:tc>
        <w:tc>
          <w:tcPr>
            <w:tcW w:w="3041" w:type="dxa"/>
            <w:vAlign w:val="center"/>
          </w:tcPr>
          <w:p w14:paraId="5E168EA5" w14:textId="77777777" w:rsidR="00D14E1B" w:rsidRDefault="00000000">
            <w:r>
              <w:rPr>
                <w:sz w:val="17"/>
              </w:rPr>
              <w:t>L</w:t>
            </w:r>
          </w:p>
        </w:tc>
      </w:tr>
      <w:tr w:rsidR="00D14E1B" w14:paraId="7A4BB2DC" w14:textId="77777777">
        <w:trPr>
          <w:cantSplit/>
          <w:jc w:val="center"/>
        </w:trPr>
        <w:tc>
          <w:tcPr>
            <w:tcW w:w="3041" w:type="dxa"/>
            <w:vAlign w:val="center"/>
          </w:tcPr>
          <w:p w14:paraId="0608F9FE" w14:textId="77777777" w:rsidR="00D14E1B" w:rsidRDefault="00000000">
            <w:r>
              <w:rPr>
                <w:sz w:val="17"/>
              </w:rPr>
              <w:t>dose_mg_kg</w:t>
            </w:r>
          </w:p>
        </w:tc>
        <w:tc>
          <w:tcPr>
            <w:tcW w:w="3041" w:type="dxa"/>
            <w:vAlign w:val="center"/>
          </w:tcPr>
          <w:p w14:paraId="216B42DE" w14:textId="77777777" w:rsidR="00D14E1B" w:rsidRDefault="00000000">
            <w:r>
              <w:rPr>
                <w:sz w:val="17"/>
              </w:rPr>
              <w:t>Dose ajustada por peso</w:t>
            </w:r>
          </w:p>
        </w:tc>
        <w:tc>
          <w:tcPr>
            <w:tcW w:w="3041" w:type="dxa"/>
            <w:vAlign w:val="center"/>
          </w:tcPr>
          <w:p w14:paraId="2AF0FDF7" w14:textId="77777777" w:rsidR="00D14E1B" w:rsidRDefault="00000000">
            <w:r>
              <w:rPr>
                <w:sz w:val="17"/>
              </w:rPr>
              <w:t>mg/kg</w:t>
            </w:r>
          </w:p>
        </w:tc>
      </w:tr>
      <w:tr w:rsidR="00D14E1B" w14:paraId="5F5F51BD" w14:textId="77777777">
        <w:trPr>
          <w:cantSplit/>
          <w:jc w:val="center"/>
        </w:trPr>
        <w:tc>
          <w:tcPr>
            <w:tcW w:w="3041" w:type="dxa"/>
            <w:vAlign w:val="center"/>
          </w:tcPr>
          <w:p w14:paraId="4519A2B9" w14:textId="77777777" w:rsidR="00D14E1B" w:rsidRDefault="00000000">
            <w:r>
              <w:rPr>
                <w:sz w:val="17"/>
              </w:rPr>
              <w:t>dose_mg</w:t>
            </w:r>
          </w:p>
        </w:tc>
        <w:tc>
          <w:tcPr>
            <w:tcW w:w="3041" w:type="dxa"/>
            <w:vAlign w:val="center"/>
          </w:tcPr>
          <w:p w14:paraId="03847657" w14:textId="77777777" w:rsidR="00D14E1B" w:rsidRDefault="00000000">
            <w:r>
              <w:rPr>
                <w:sz w:val="17"/>
              </w:rPr>
              <w:t>Dose absoluta prescrita</w:t>
            </w:r>
          </w:p>
        </w:tc>
        <w:tc>
          <w:tcPr>
            <w:tcW w:w="3041" w:type="dxa"/>
            <w:vAlign w:val="center"/>
          </w:tcPr>
          <w:p w14:paraId="0BBCA700" w14:textId="77777777" w:rsidR="00D14E1B" w:rsidRDefault="00000000">
            <w:r>
              <w:rPr>
                <w:sz w:val="17"/>
              </w:rPr>
              <w:t>mg</w:t>
            </w:r>
          </w:p>
        </w:tc>
      </w:tr>
      <w:tr w:rsidR="00D14E1B" w14:paraId="71A48191" w14:textId="77777777">
        <w:trPr>
          <w:cantSplit/>
          <w:jc w:val="center"/>
        </w:trPr>
        <w:tc>
          <w:tcPr>
            <w:tcW w:w="3041" w:type="dxa"/>
            <w:vAlign w:val="center"/>
          </w:tcPr>
          <w:p w14:paraId="66CF95FA" w14:textId="77777777" w:rsidR="00D14E1B" w:rsidRDefault="00000000">
            <w:r>
              <w:rPr>
                <w:sz w:val="17"/>
              </w:rPr>
              <w:t>intervalo_h</w:t>
            </w:r>
          </w:p>
        </w:tc>
        <w:tc>
          <w:tcPr>
            <w:tcW w:w="3041" w:type="dxa"/>
            <w:vAlign w:val="center"/>
          </w:tcPr>
          <w:p w14:paraId="44B97B40" w14:textId="77777777" w:rsidR="00D14E1B" w:rsidRDefault="00000000">
            <w:r>
              <w:rPr>
                <w:sz w:val="17"/>
              </w:rPr>
              <w:t>Intervalo entre doses</w:t>
            </w:r>
          </w:p>
        </w:tc>
        <w:tc>
          <w:tcPr>
            <w:tcW w:w="3041" w:type="dxa"/>
            <w:vAlign w:val="center"/>
          </w:tcPr>
          <w:p w14:paraId="1ABA2184" w14:textId="77777777" w:rsidR="00D14E1B" w:rsidRDefault="00000000">
            <w:r>
              <w:rPr>
                <w:sz w:val="17"/>
              </w:rPr>
              <w:t>horas</w:t>
            </w:r>
          </w:p>
        </w:tc>
      </w:tr>
      <w:tr w:rsidR="00D14E1B" w14:paraId="51758585" w14:textId="77777777">
        <w:trPr>
          <w:cantSplit/>
          <w:jc w:val="center"/>
        </w:trPr>
        <w:tc>
          <w:tcPr>
            <w:tcW w:w="3041" w:type="dxa"/>
            <w:vAlign w:val="center"/>
          </w:tcPr>
          <w:p w14:paraId="4F0B95DB" w14:textId="77777777" w:rsidR="00D14E1B" w:rsidRDefault="00000000">
            <w:r>
              <w:rPr>
                <w:sz w:val="17"/>
              </w:rPr>
              <w:t>tempo_infusao_h</w:t>
            </w:r>
          </w:p>
        </w:tc>
        <w:tc>
          <w:tcPr>
            <w:tcW w:w="3041" w:type="dxa"/>
            <w:vAlign w:val="center"/>
          </w:tcPr>
          <w:p w14:paraId="0A80C7E8" w14:textId="77777777" w:rsidR="00D14E1B" w:rsidRDefault="00000000">
            <w:r>
              <w:rPr>
                <w:sz w:val="17"/>
              </w:rPr>
              <w:t>Duração da infusão</w:t>
            </w:r>
          </w:p>
        </w:tc>
        <w:tc>
          <w:tcPr>
            <w:tcW w:w="3041" w:type="dxa"/>
            <w:vAlign w:val="center"/>
          </w:tcPr>
          <w:p w14:paraId="0981BE7D" w14:textId="77777777" w:rsidR="00D14E1B" w:rsidRDefault="00000000">
            <w:r>
              <w:rPr>
                <w:sz w:val="17"/>
              </w:rPr>
              <w:t>horas</w:t>
            </w:r>
          </w:p>
        </w:tc>
      </w:tr>
      <w:tr w:rsidR="00D14E1B" w14:paraId="789AD4F0" w14:textId="77777777">
        <w:trPr>
          <w:cantSplit/>
          <w:jc w:val="center"/>
        </w:trPr>
        <w:tc>
          <w:tcPr>
            <w:tcW w:w="3041" w:type="dxa"/>
            <w:vAlign w:val="center"/>
          </w:tcPr>
          <w:p w14:paraId="24901D6E" w14:textId="77777777" w:rsidR="00D14E1B" w:rsidRDefault="00000000">
            <w:r>
              <w:rPr>
                <w:sz w:val="17"/>
              </w:rPr>
              <w:t>clearance_atual_L_h</w:t>
            </w:r>
          </w:p>
        </w:tc>
        <w:tc>
          <w:tcPr>
            <w:tcW w:w="3041" w:type="dxa"/>
            <w:vAlign w:val="center"/>
          </w:tcPr>
          <w:p w14:paraId="47C5BDD5" w14:textId="77777777" w:rsidR="00D14E1B" w:rsidRDefault="00000000">
            <w:r>
              <w:rPr>
                <w:sz w:val="17"/>
              </w:rPr>
              <w:t>Clearance do fármaco no tempo da predição</w:t>
            </w:r>
          </w:p>
        </w:tc>
        <w:tc>
          <w:tcPr>
            <w:tcW w:w="3041" w:type="dxa"/>
            <w:vAlign w:val="center"/>
          </w:tcPr>
          <w:p w14:paraId="0810690D" w14:textId="77777777" w:rsidR="00D14E1B" w:rsidRDefault="00000000">
            <w:r>
              <w:rPr>
                <w:sz w:val="17"/>
              </w:rPr>
              <w:t>L/h</w:t>
            </w:r>
          </w:p>
        </w:tc>
      </w:tr>
      <w:tr w:rsidR="00D14E1B" w14:paraId="0403164F" w14:textId="77777777">
        <w:trPr>
          <w:cantSplit/>
          <w:jc w:val="center"/>
        </w:trPr>
        <w:tc>
          <w:tcPr>
            <w:tcW w:w="3041" w:type="dxa"/>
            <w:vAlign w:val="center"/>
          </w:tcPr>
          <w:p w14:paraId="66E7E463" w14:textId="77777777" w:rsidR="00D14E1B" w:rsidRDefault="00000000">
            <w:r>
              <w:rPr>
                <w:sz w:val="17"/>
              </w:rPr>
              <w:t>tempo_horas</w:t>
            </w:r>
          </w:p>
        </w:tc>
        <w:tc>
          <w:tcPr>
            <w:tcW w:w="3041" w:type="dxa"/>
            <w:vAlign w:val="center"/>
          </w:tcPr>
          <w:p w14:paraId="693184B3" w14:textId="77777777" w:rsidR="00D14E1B" w:rsidRDefault="00000000">
            <w:r>
              <w:rPr>
                <w:sz w:val="17"/>
              </w:rPr>
              <w:t>Momento da concentração simulada</w:t>
            </w:r>
          </w:p>
        </w:tc>
        <w:tc>
          <w:tcPr>
            <w:tcW w:w="3041" w:type="dxa"/>
            <w:vAlign w:val="center"/>
          </w:tcPr>
          <w:p w14:paraId="2BBCC5F5" w14:textId="77777777" w:rsidR="00D14E1B" w:rsidRDefault="00000000">
            <w:r>
              <w:rPr>
                <w:sz w:val="17"/>
              </w:rPr>
              <w:t>horas</w:t>
            </w:r>
          </w:p>
        </w:tc>
      </w:tr>
    </w:tbl>
    <w:p w14:paraId="057B8110" w14:textId="77777777" w:rsidR="00D14E1B" w:rsidRDefault="00000000">
      <w:pPr>
        <w:pStyle w:val="Ttulo1"/>
        <w:spacing w:before="240" w:after="120"/>
      </w:pPr>
      <w:r>
        <w:rPr>
          <w:rFonts w:ascii="Times New Roman" w:eastAsia="Times New Roman" w:hAnsi="Times New Roman"/>
          <w:sz w:val="26"/>
        </w:rPr>
        <w:t>5. Comparação entre PK/PD e machine learning</w:t>
      </w:r>
    </w:p>
    <w:p w14:paraId="6E12E44E" w14:textId="77777777" w:rsidR="00D14E1B" w:rsidRDefault="00000000">
      <w:pPr>
        <w:spacing w:after="120" w:line="360" w:lineRule="auto"/>
      </w:pPr>
      <w:r>
        <w:t>A comparação foi organizada em duas etapas. Na primeira etapa, o modelo PK/PD gerou a curva concentração tempo. Essa curva funcionou como referência mecanística porque suas concentrações derivam de equações farmacocinéticas conhecidas. Na segunda etapa, os modelos de machine learning receberam as variáveis de entrada e foram treinados para aproximar a concentração gerada pela referência PK/PD.</w:t>
      </w:r>
    </w:p>
    <w:p w14:paraId="65CD6597" w14:textId="77777777" w:rsidR="00D14E1B" w:rsidRDefault="00000000">
      <w:pPr>
        <w:spacing w:after="120" w:line="360" w:lineRule="auto"/>
      </w:pPr>
      <w:r>
        <w:t>Essa organização define o sentido da comparação. O modelo PK/PD explica a concentração a partir de parâmetros farmacológicos. O modelo de machine learning estima a concentração a partir de padrões aprendidos no conjunto de dados. Quando a base é simulada, o algoritmo aprende a reproduzir uma estrutura criada pelo próprio modelo farmacocinético. Por isso, desempenho elevado em dados simulados demonstra reprodução da simulação e não demonstra validade clínica.</w:t>
      </w:r>
    </w:p>
    <w:p w14:paraId="13BF495E" w14:textId="77777777" w:rsidR="00D14E1B" w:rsidRDefault="00000000">
      <w:pPr>
        <w:spacing w:after="120" w:line="360" w:lineRule="auto"/>
      </w:pPr>
      <w:r>
        <w:t xml:space="preserve">Foram comparados quatro algoritmos. O BayesianRidge é uma regressão linear com regularização bayesiana. Ele tende a ter dificuldade quando a relação entre variáveis é exponencial ou multiplicativa, como ocorre na eliminação farmacocinética. Sua vantagem está </w:t>
      </w:r>
      <w:r>
        <w:lastRenderedPageBreak/>
        <w:t>na produção de intervalo de confiança para cada predição. O LightGBM, o Gradient Boosting e o Random Forest são modelos baseados em árvores. Esses modelos dividem o espaço das variáveis em regiões menores e conseguem aproximar relações não lineares com mais flexibilidade.</w:t>
      </w:r>
    </w:p>
    <w:p w14:paraId="2C6E6A20" w14:textId="77777777" w:rsidR="00D14E1B" w:rsidRDefault="00000000">
      <w:pPr>
        <w:spacing w:after="120" w:line="360" w:lineRule="auto"/>
      </w:pPr>
      <w:r>
        <w:t>A curva PK/PD também foi mantida como referência clínica para cálculo dos indicadores farmacodinâmicos. Essa decisão evita que uma curva estatística exploratória defina sozinha pico, vale, AUC/MIC e T&gt;MIC. Os modelos de machine learning podem ser visualizados como aproximação ou comparação, enquanto o cálculo clínico permanece vinculado ao modelo farmacocinético explícito.</w:t>
      </w:r>
    </w:p>
    <w:p w14:paraId="22EA1256" w14:textId="77777777" w:rsidR="00D14E1B" w:rsidRDefault="00000000">
      <w:pPr>
        <w:pStyle w:val="Ttulo1"/>
        <w:spacing w:before="240" w:after="120"/>
      </w:pPr>
      <w:r>
        <w:rPr>
          <w:rFonts w:ascii="Times New Roman" w:eastAsia="Times New Roman" w:hAnsi="Times New Roman"/>
          <w:sz w:val="26"/>
        </w:rPr>
        <w:t>6. Métricas de desempenho</w:t>
      </w:r>
    </w:p>
    <w:p w14:paraId="08CE3660" w14:textId="77777777" w:rsidR="00D14E1B" w:rsidRDefault="00000000">
      <w:pPr>
        <w:spacing w:after="120" w:line="360" w:lineRule="auto"/>
      </w:pPr>
      <w:r>
        <w:t>As estatísticas de desempenho medem o erro entre a concentração prevista pelo modelo e a concentração usada como referência no conjunto de teste. Elas não medem cura clínica, toxicidade observada ou mortalidade. Neste estudo, elas indicam proximidade numérica entre a predição do algoritmo e a concentração simulada.</w:t>
      </w:r>
    </w:p>
    <w:p w14:paraId="6A08BF23" w14:textId="77777777" w:rsidR="00D14E1B" w:rsidRDefault="00000000">
      <w:pPr>
        <w:spacing w:after="120" w:line="360" w:lineRule="auto"/>
      </w:pPr>
      <w:r>
        <w:t>O R² mede a proporção da variação da concentração que o modelo consegue reproduzir. Valores próximos de um indicam ajuste muito alto ao conjunto de teste. Em dados simulados por equação determinística, valores próximos de um podem ocorrer porque a relação entre entrada e saída é estável e repetível. Esse resultado deve ser interpretado como aderência matemática à simulação.</w:t>
      </w:r>
    </w:p>
    <w:p w14:paraId="6C999FBE" w14:textId="77777777" w:rsidR="00D14E1B" w:rsidRDefault="00000000">
      <w:pPr>
        <w:spacing w:after="120" w:line="360" w:lineRule="auto"/>
      </w:pPr>
      <w:r>
        <w:t>O erro absoluto médio, conhecido como MAE, calcula a média das diferenças absolutas entre valor previsto e valor de referência. A unidade é mg/L. Um MAE de 0,10 mg/L significa que, em média, a predição se afastou 0,10 mg/L da concentração simulada. Essa métrica é fácil de interpretar porque permanece na mesma unidade da concentração sérica.</w:t>
      </w:r>
    </w:p>
    <w:p w14:paraId="5C9229CB" w14:textId="77777777" w:rsidR="00D14E1B" w:rsidRDefault="00000000">
      <w:pPr>
        <w:spacing w:after="120" w:line="360" w:lineRule="auto"/>
      </w:pPr>
      <w:r>
        <w:t>A raiz do erro quadrático médio, conhecida como RMSE, também usa a diferença entre valor previsto e valor de referência. Ela eleva os erros ao quadrado antes de calcular a média e depois retorna à unidade original pela raiz quadrada. Por esse motivo, erros grandes pesam mais no RMSE. Quando o RMSE é muito maior que o MAE, há indício de algumas predições com erro elevado.</w:t>
      </w:r>
    </w:p>
    <w:p w14:paraId="6E5A2EA1" w14:textId="77777777" w:rsidR="00D14E1B" w:rsidRDefault="00000000">
      <w:pPr>
        <w:spacing w:after="120" w:line="360" w:lineRule="auto"/>
      </w:pPr>
      <w:r>
        <w:lastRenderedPageBreak/>
        <w:t>O intervalo de confiança de 95 por cento expressa incerteza da predição individual. Entre os modelos avaliados, o BayesianRidge forneceu esse recurso de forma nativa. Um intervalo amplo comunica baixa precisão da estimativa. Em uso clínico futuro, esse tipo de informação pode orientar priorização de doseamento sérico quando a predição for incerta.</w:t>
      </w:r>
    </w:p>
    <w:p w14:paraId="14BBC72F" w14:textId="77777777" w:rsidR="00D14E1B" w:rsidRDefault="00000000">
      <w:pPr>
        <w:pStyle w:val="Ttulo1"/>
        <w:spacing w:before="240" w:after="120"/>
      </w:pPr>
      <w:r>
        <w:rPr>
          <w:rFonts w:ascii="Times New Roman" w:eastAsia="Times New Roman" w:hAnsi="Times New Roman"/>
          <w:sz w:val="26"/>
        </w:rPr>
        <w:t>7. Resultados da versão de desenvolvimento</w:t>
      </w:r>
    </w:p>
    <w:p w14:paraId="02D510BF" w14:textId="77777777" w:rsidR="00D14E1B" w:rsidRDefault="00000000">
      <w:pPr>
        <w:spacing w:after="120" w:line="360" w:lineRule="auto"/>
      </w:pPr>
      <w:r>
        <w:t>A versão de desenvolvimento registrada no arquivo base apresentou desempenho elevado nos modelos baseados em árvores. Random Forest e Gradient Boosting obtiveram R² igual a 1,0000 no conjunto de teste, com MAE inferior a 0,1 mg/L. O LightGBM apresentou R² de 0,9989 e MAE de 0,0916 mg/L. O BayesianRidge apresentou R² de 0,4862 e MAE de 6,7007 mg/L.</w:t>
      </w:r>
    </w:p>
    <w:p w14:paraId="42F02B7B" w14:textId="77777777" w:rsidR="00D14E1B" w:rsidRDefault="00000000">
      <w:pPr>
        <w:spacing w:after="120" w:line="360" w:lineRule="auto"/>
      </w:pPr>
      <w:r>
        <w:t>Esses resultados precisam ser lidos junto com o método de geração dos dados. As concentrações foram produzidas por modelo farmacocinético. Os algoritmos foram avaliados quanto à capacidade de reproduzir essa concentração simulada. O desempenho quase perfeito dos modelos de árvore indica que eles conseguiram aproximar a função usada na simulação. Esse desempenho não deve ser descrito como acurácia clínica em pacientes reais.</w:t>
      </w:r>
    </w:p>
    <w:p w14:paraId="12C0DB17" w14:textId="77777777" w:rsidR="00D14E1B" w:rsidRDefault="00000000">
      <w:pPr>
        <w:spacing w:after="120" w:line="360" w:lineRule="auto"/>
      </w:pPr>
      <w:r>
        <w:t>O pior desempenho do BayesianRidge é compatível com a forma matemática do problema. A concentração depende de decaimento exponencial, clearance, volume de distribuição, dose, intervalo e tempo. Uma regressão linear trabalha melhor quando as relações são aproximadamente aditivas e lineares. A discrepância observada indica que o modelo linear foi menos adequado para reproduzir a curva simulada sem transformação adicional das variáveis.</w:t>
      </w:r>
    </w:p>
    <w:p w14:paraId="0BA1BDD3" w14:textId="77777777" w:rsidR="00D14E1B" w:rsidRDefault="00000000">
      <w:pPr>
        <w:spacing w:after="160" w:line="240" w:lineRule="auto"/>
      </w:pPr>
      <w:r>
        <w:rPr>
          <w:i/>
          <w:sz w:val="20"/>
        </w:rPr>
        <w:t>Tabela 2. Desempenho dos modelos na versão de desenvolvimento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24"/>
        <w:gridCol w:w="1822"/>
        <w:gridCol w:w="1822"/>
        <w:gridCol w:w="1822"/>
        <w:gridCol w:w="1822"/>
      </w:tblGrid>
      <w:tr w:rsidR="00D14E1B" w14:paraId="11F0B374" w14:textId="77777777">
        <w:trPr>
          <w:cantSplit/>
          <w:tblHeader/>
          <w:jc w:val="center"/>
        </w:trPr>
        <w:tc>
          <w:tcPr>
            <w:tcW w:w="1824" w:type="dxa"/>
            <w:shd w:val="clear" w:color="auto" w:fill="D9D9D9"/>
            <w:vAlign w:val="center"/>
          </w:tcPr>
          <w:p w14:paraId="56FC1188" w14:textId="77777777" w:rsidR="00D14E1B" w:rsidRDefault="00000000">
            <w:pPr>
              <w:jc w:val="center"/>
            </w:pPr>
            <w:r>
              <w:rPr>
                <w:b/>
                <w:sz w:val="17"/>
              </w:rPr>
              <w:t>Modelo</w:t>
            </w:r>
          </w:p>
        </w:tc>
        <w:tc>
          <w:tcPr>
            <w:tcW w:w="1824" w:type="dxa"/>
            <w:shd w:val="clear" w:color="auto" w:fill="D9D9D9"/>
            <w:vAlign w:val="center"/>
          </w:tcPr>
          <w:p w14:paraId="1F396BFE" w14:textId="77777777" w:rsidR="00D14E1B" w:rsidRDefault="00000000">
            <w:pPr>
              <w:jc w:val="center"/>
            </w:pPr>
            <w:r>
              <w:rPr>
                <w:b/>
                <w:sz w:val="17"/>
              </w:rPr>
              <w:t>R²</w:t>
            </w:r>
          </w:p>
        </w:tc>
        <w:tc>
          <w:tcPr>
            <w:tcW w:w="1824" w:type="dxa"/>
            <w:shd w:val="clear" w:color="auto" w:fill="D9D9D9"/>
            <w:vAlign w:val="center"/>
          </w:tcPr>
          <w:p w14:paraId="78F0C417" w14:textId="77777777" w:rsidR="00D14E1B" w:rsidRDefault="00000000">
            <w:pPr>
              <w:jc w:val="center"/>
            </w:pPr>
            <w:r>
              <w:rPr>
                <w:b/>
                <w:sz w:val="17"/>
              </w:rPr>
              <w:t>MAE mg/L</w:t>
            </w:r>
          </w:p>
        </w:tc>
        <w:tc>
          <w:tcPr>
            <w:tcW w:w="1824" w:type="dxa"/>
            <w:shd w:val="clear" w:color="auto" w:fill="D9D9D9"/>
            <w:vAlign w:val="center"/>
          </w:tcPr>
          <w:p w14:paraId="479F97DF" w14:textId="77777777" w:rsidR="00D14E1B" w:rsidRDefault="00000000">
            <w:pPr>
              <w:jc w:val="center"/>
            </w:pPr>
            <w:r>
              <w:rPr>
                <w:b/>
                <w:sz w:val="17"/>
              </w:rPr>
              <w:t>RMSE mg/L</w:t>
            </w:r>
          </w:p>
        </w:tc>
        <w:tc>
          <w:tcPr>
            <w:tcW w:w="1824" w:type="dxa"/>
            <w:shd w:val="clear" w:color="auto" w:fill="D9D9D9"/>
            <w:vAlign w:val="center"/>
          </w:tcPr>
          <w:p w14:paraId="5092270B" w14:textId="77777777" w:rsidR="00D14E1B" w:rsidRDefault="00000000">
            <w:pPr>
              <w:jc w:val="center"/>
            </w:pPr>
            <w:r>
              <w:rPr>
                <w:b/>
                <w:sz w:val="17"/>
              </w:rPr>
              <w:t>IC 95 por cento</w:t>
            </w:r>
          </w:p>
        </w:tc>
      </w:tr>
      <w:tr w:rsidR="00D14E1B" w14:paraId="0AA1E8E9" w14:textId="77777777">
        <w:trPr>
          <w:cantSplit/>
          <w:jc w:val="center"/>
        </w:trPr>
        <w:tc>
          <w:tcPr>
            <w:tcW w:w="1824" w:type="dxa"/>
            <w:vAlign w:val="center"/>
          </w:tcPr>
          <w:p w14:paraId="5A21368A" w14:textId="77777777" w:rsidR="00D14E1B" w:rsidRDefault="00000000">
            <w:r>
              <w:rPr>
                <w:sz w:val="17"/>
              </w:rPr>
              <w:t>Random Forest</w:t>
            </w:r>
          </w:p>
        </w:tc>
        <w:tc>
          <w:tcPr>
            <w:tcW w:w="1824" w:type="dxa"/>
            <w:vAlign w:val="center"/>
          </w:tcPr>
          <w:p w14:paraId="47363E53" w14:textId="77777777" w:rsidR="00D14E1B" w:rsidRDefault="00000000">
            <w:r>
              <w:rPr>
                <w:sz w:val="17"/>
              </w:rPr>
              <w:t>1,0000</w:t>
            </w:r>
          </w:p>
        </w:tc>
        <w:tc>
          <w:tcPr>
            <w:tcW w:w="1824" w:type="dxa"/>
            <w:vAlign w:val="center"/>
          </w:tcPr>
          <w:p w14:paraId="0701C91A" w14:textId="77777777" w:rsidR="00D14E1B" w:rsidRDefault="00000000">
            <w:r>
              <w:rPr>
                <w:sz w:val="17"/>
              </w:rPr>
              <w:t>0,0043</w:t>
            </w:r>
          </w:p>
        </w:tc>
        <w:tc>
          <w:tcPr>
            <w:tcW w:w="1824" w:type="dxa"/>
            <w:vAlign w:val="center"/>
          </w:tcPr>
          <w:p w14:paraId="6A8CA0D7" w14:textId="77777777" w:rsidR="00D14E1B" w:rsidRDefault="00000000">
            <w:r>
              <w:rPr>
                <w:sz w:val="17"/>
              </w:rPr>
              <w:t>0,0778</w:t>
            </w:r>
          </w:p>
        </w:tc>
        <w:tc>
          <w:tcPr>
            <w:tcW w:w="1824" w:type="dxa"/>
            <w:vAlign w:val="center"/>
          </w:tcPr>
          <w:p w14:paraId="3003535D" w14:textId="77777777" w:rsidR="00D14E1B" w:rsidRDefault="00000000">
            <w:r>
              <w:rPr>
                <w:sz w:val="17"/>
              </w:rPr>
              <w:t>não</w:t>
            </w:r>
          </w:p>
        </w:tc>
      </w:tr>
      <w:tr w:rsidR="00D14E1B" w14:paraId="6624B62D" w14:textId="77777777">
        <w:trPr>
          <w:cantSplit/>
          <w:jc w:val="center"/>
        </w:trPr>
        <w:tc>
          <w:tcPr>
            <w:tcW w:w="1824" w:type="dxa"/>
            <w:vAlign w:val="center"/>
          </w:tcPr>
          <w:p w14:paraId="0070E91F" w14:textId="77777777" w:rsidR="00D14E1B" w:rsidRDefault="00000000">
            <w:r>
              <w:rPr>
                <w:sz w:val="17"/>
              </w:rPr>
              <w:t>Gradient Boosting</w:t>
            </w:r>
          </w:p>
        </w:tc>
        <w:tc>
          <w:tcPr>
            <w:tcW w:w="1824" w:type="dxa"/>
            <w:vAlign w:val="center"/>
          </w:tcPr>
          <w:p w14:paraId="06ABFFC4" w14:textId="77777777" w:rsidR="00D14E1B" w:rsidRDefault="00000000">
            <w:r>
              <w:rPr>
                <w:sz w:val="17"/>
              </w:rPr>
              <w:t>1,0000</w:t>
            </w:r>
          </w:p>
        </w:tc>
        <w:tc>
          <w:tcPr>
            <w:tcW w:w="1824" w:type="dxa"/>
            <w:vAlign w:val="center"/>
          </w:tcPr>
          <w:p w14:paraId="0F7FA9D8" w14:textId="77777777" w:rsidR="00D14E1B" w:rsidRDefault="00000000">
            <w:r>
              <w:rPr>
                <w:sz w:val="17"/>
              </w:rPr>
              <w:t>0,0502</w:t>
            </w:r>
          </w:p>
        </w:tc>
        <w:tc>
          <w:tcPr>
            <w:tcW w:w="1824" w:type="dxa"/>
            <w:vAlign w:val="center"/>
          </w:tcPr>
          <w:p w14:paraId="2FA385D2" w14:textId="77777777" w:rsidR="00D14E1B" w:rsidRDefault="00000000">
            <w:r>
              <w:rPr>
                <w:sz w:val="17"/>
              </w:rPr>
              <w:t>0,0710</w:t>
            </w:r>
          </w:p>
        </w:tc>
        <w:tc>
          <w:tcPr>
            <w:tcW w:w="1824" w:type="dxa"/>
            <w:vAlign w:val="center"/>
          </w:tcPr>
          <w:p w14:paraId="2F5189EB" w14:textId="77777777" w:rsidR="00D14E1B" w:rsidRDefault="00000000">
            <w:r>
              <w:rPr>
                <w:sz w:val="17"/>
              </w:rPr>
              <w:t>não</w:t>
            </w:r>
          </w:p>
        </w:tc>
      </w:tr>
      <w:tr w:rsidR="00D14E1B" w14:paraId="4DF8A702" w14:textId="77777777">
        <w:trPr>
          <w:cantSplit/>
          <w:jc w:val="center"/>
        </w:trPr>
        <w:tc>
          <w:tcPr>
            <w:tcW w:w="1824" w:type="dxa"/>
            <w:vAlign w:val="center"/>
          </w:tcPr>
          <w:p w14:paraId="296DCE94" w14:textId="77777777" w:rsidR="00D14E1B" w:rsidRDefault="00000000">
            <w:r>
              <w:rPr>
                <w:sz w:val="17"/>
              </w:rPr>
              <w:t>LightGBM</w:t>
            </w:r>
          </w:p>
        </w:tc>
        <w:tc>
          <w:tcPr>
            <w:tcW w:w="1824" w:type="dxa"/>
            <w:vAlign w:val="center"/>
          </w:tcPr>
          <w:p w14:paraId="749AC70C" w14:textId="77777777" w:rsidR="00D14E1B" w:rsidRDefault="00000000">
            <w:r>
              <w:rPr>
                <w:sz w:val="17"/>
              </w:rPr>
              <w:t>0,9989</w:t>
            </w:r>
          </w:p>
        </w:tc>
        <w:tc>
          <w:tcPr>
            <w:tcW w:w="1824" w:type="dxa"/>
            <w:vAlign w:val="center"/>
          </w:tcPr>
          <w:p w14:paraId="70D31BE8" w14:textId="77777777" w:rsidR="00D14E1B" w:rsidRDefault="00000000">
            <w:r>
              <w:rPr>
                <w:sz w:val="17"/>
              </w:rPr>
              <w:t>0,0916</w:t>
            </w:r>
          </w:p>
        </w:tc>
        <w:tc>
          <w:tcPr>
            <w:tcW w:w="1824" w:type="dxa"/>
            <w:vAlign w:val="center"/>
          </w:tcPr>
          <w:p w14:paraId="6DE2798E" w14:textId="77777777" w:rsidR="00D14E1B" w:rsidRDefault="00000000">
            <w:r>
              <w:rPr>
                <w:sz w:val="17"/>
              </w:rPr>
              <w:t>0,3815</w:t>
            </w:r>
          </w:p>
        </w:tc>
        <w:tc>
          <w:tcPr>
            <w:tcW w:w="1824" w:type="dxa"/>
            <w:vAlign w:val="center"/>
          </w:tcPr>
          <w:p w14:paraId="245E3A8B" w14:textId="77777777" w:rsidR="00D14E1B" w:rsidRDefault="00000000">
            <w:r>
              <w:rPr>
                <w:sz w:val="17"/>
              </w:rPr>
              <w:t>não</w:t>
            </w:r>
          </w:p>
        </w:tc>
      </w:tr>
      <w:tr w:rsidR="00D14E1B" w14:paraId="58ABFC70" w14:textId="77777777">
        <w:trPr>
          <w:cantSplit/>
          <w:jc w:val="center"/>
        </w:trPr>
        <w:tc>
          <w:tcPr>
            <w:tcW w:w="1824" w:type="dxa"/>
            <w:vAlign w:val="center"/>
          </w:tcPr>
          <w:p w14:paraId="572BE0A0" w14:textId="77777777" w:rsidR="00D14E1B" w:rsidRDefault="00000000">
            <w:r>
              <w:rPr>
                <w:sz w:val="17"/>
              </w:rPr>
              <w:t>BayesianRidge</w:t>
            </w:r>
          </w:p>
        </w:tc>
        <w:tc>
          <w:tcPr>
            <w:tcW w:w="1824" w:type="dxa"/>
            <w:vAlign w:val="center"/>
          </w:tcPr>
          <w:p w14:paraId="49553F5A" w14:textId="77777777" w:rsidR="00D14E1B" w:rsidRDefault="00000000">
            <w:r>
              <w:rPr>
                <w:sz w:val="17"/>
              </w:rPr>
              <w:t>0,4862</w:t>
            </w:r>
          </w:p>
        </w:tc>
        <w:tc>
          <w:tcPr>
            <w:tcW w:w="1824" w:type="dxa"/>
            <w:vAlign w:val="center"/>
          </w:tcPr>
          <w:p w14:paraId="666C48BE" w14:textId="77777777" w:rsidR="00D14E1B" w:rsidRDefault="00000000">
            <w:r>
              <w:rPr>
                <w:sz w:val="17"/>
              </w:rPr>
              <w:t>6,7007</w:t>
            </w:r>
          </w:p>
        </w:tc>
        <w:tc>
          <w:tcPr>
            <w:tcW w:w="1824" w:type="dxa"/>
            <w:vAlign w:val="center"/>
          </w:tcPr>
          <w:p w14:paraId="632F9430" w14:textId="77777777" w:rsidR="00D14E1B" w:rsidRDefault="00000000">
            <w:r>
              <w:rPr>
                <w:sz w:val="17"/>
              </w:rPr>
              <w:t>8,2912</w:t>
            </w:r>
          </w:p>
        </w:tc>
        <w:tc>
          <w:tcPr>
            <w:tcW w:w="1824" w:type="dxa"/>
            <w:vAlign w:val="center"/>
          </w:tcPr>
          <w:p w14:paraId="3354D63F" w14:textId="77777777" w:rsidR="00D14E1B" w:rsidRDefault="00000000">
            <w:r>
              <w:rPr>
                <w:sz w:val="17"/>
              </w:rPr>
              <w:t>sim</w:t>
            </w:r>
          </w:p>
        </w:tc>
      </w:tr>
    </w:tbl>
    <w:p w14:paraId="59002E73" w14:textId="77777777" w:rsidR="00D14E1B" w:rsidRDefault="00000000">
      <w:pPr>
        <w:pStyle w:val="Ttulo1"/>
        <w:spacing w:before="240" w:after="120"/>
      </w:pPr>
      <w:r>
        <w:rPr>
          <w:rFonts w:ascii="Times New Roman" w:eastAsia="Times New Roman" w:hAnsi="Times New Roman"/>
          <w:sz w:val="26"/>
        </w:rPr>
        <w:t>8. Discussão</w:t>
      </w:r>
    </w:p>
    <w:p w14:paraId="7702E2D7" w14:textId="77777777" w:rsidR="00D14E1B" w:rsidRDefault="00000000">
      <w:pPr>
        <w:spacing w:after="120" w:line="360" w:lineRule="auto"/>
      </w:pPr>
      <w:r>
        <w:t xml:space="preserve">O principal resultado metodológico do estudo é a separação entre referência farmacocinética e aproximação estatística. O modelo PK/PD conserva interpretabilidade farmacológica porque </w:t>
      </w:r>
      <w:r>
        <w:lastRenderedPageBreak/>
        <w:t>cada parâmetro tem significado clínico. Dose, intervalo, tempo de infusão, volume de distribuição e clearance podem ser avaliados de modo transparente. A saída do modelo permite examinar pico, vale, exposição e tempo acima da MIC.</w:t>
      </w:r>
    </w:p>
    <w:p w14:paraId="44C555FB" w14:textId="77777777" w:rsidR="00D14E1B" w:rsidRDefault="00000000">
      <w:pPr>
        <w:spacing w:after="120" w:line="360" w:lineRule="auto"/>
      </w:pPr>
      <w:r>
        <w:t>Os algoritmos de machine learning demonstraram capacidade distinta de aproximar a concentração simulada. Os modelos baseados em árvores apresentaram desempenho elevado porque conseguem particionar o conjunto de dados e representar relações não lineares. Esse comportamento é esperado quando os dados são produzidos por uma regra matemática consistente. A interpretação correta é que esses modelos reproduziram bem a referência simulada.</w:t>
      </w:r>
    </w:p>
    <w:p w14:paraId="61804C08" w14:textId="77777777" w:rsidR="00D14E1B" w:rsidRDefault="00000000">
      <w:pPr>
        <w:spacing w:after="120" w:line="360" w:lineRule="auto"/>
      </w:pPr>
      <w:r>
        <w:t>O BayesianRidge teve menor desempenho global. Ele permanece relevante do ponto de vista metodológico pela comunicação da incerteza. Sua limitação aparece na incapacidade de representar adequadamente relações exponenciais sem engenharia adicional de variáveis. Uma predição com incerteza explícita oferece mais informação ao farmacêutico clínico que uma predição pontual sem medida de precisão.</w:t>
      </w:r>
    </w:p>
    <w:p w14:paraId="11F1C48C" w14:textId="77777777" w:rsidR="00D14E1B" w:rsidRDefault="00000000">
      <w:pPr>
        <w:spacing w:after="120" w:line="360" w:lineRule="auto"/>
      </w:pPr>
      <w:r>
        <w:t>A discussão do vale abaixo da MIC é importante para a coerência entre gráfico e interpretação. Em antimicrobianos tempo dependentes, o T&gt;MIC resume a duração da exposição acima da MIC. O vale mostra a condição no final do intervalo. Quando o vale fica abaixo da MIC, o regime apresenta período terminal de exposição insuficiente. A avaliação conjunta de T&gt;MIC e vale acima da MIC torna a classificação do regime mais compatível com a leitura clínica da curva.</w:t>
      </w:r>
    </w:p>
    <w:p w14:paraId="030DE915" w14:textId="77777777" w:rsidR="00D14E1B" w:rsidRDefault="00000000">
      <w:pPr>
        <w:spacing w:after="120" w:line="360" w:lineRule="auto"/>
      </w:pPr>
      <w:r>
        <w:t>A revisão da literatura sustenta a calibração inicial e também evidencia heterogeneidade. Os estudos incluídos reportam populações com função renal muito variável, desde insuficiência renal grave até clearance aumentado. Essa amplitude é desejável para simulação porque permite testar comportamento do modelo em diferentes condições. A heterogeneidade também limita a inferência, pois médias populacionais de estudos distintos não substituem dados individuais com horários reais de dose e coleta.</w:t>
      </w:r>
    </w:p>
    <w:p w14:paraId="47B38346" w14:textId="77777777" w:rsidR="00D14E1B" w:rsidRDefault="00000000">
      <w:pPr>
        <w:spacing w:after="120" w:line="360" w:lineRule="auto"/>
      </w:pPr>
      <w:r>
        <w:t xml:space="preserve">O conjunto de dados simulado ocupa um lugar intermediário no desenvolvimento do sistema. Ele permite testar arquitetura, fluxo de cálculo, coerência entre curva e indicadores e desempenho estatístico inicial. Ele não substitui doseamentos séricos reais. Dados observacionais independentes serão necessários para avaliar erro de predição em cenário </w:t>
      </w:r>
      <w:r>
        <w:lastRenderedPageBreak/>
        <w:t>clínico, especialmente quando houver atraso de administração, coleta fora do horário previsto, alteração rápida da função renal e presença de terapia renal substitutiva.</w:t>
      </w:r>
    </w:p>
    <w:p w14:paraId="4CBFFA8F" w14:textId="77777777" w:rsidR="00D14E1B" w:rsidRDefault="00000000">
      <w:pPr>
        <w:spacing w:after="120" w:line="360" w:lineRule="auto"/>
      </w:pPr>
      <w:r>
        <w:t>A comparação entre PK/PD e machine learning deve orientar o desenvolvimento do sistema em camadas. A primeira camada calcula a curva e os indicadores por modelo farmacocinético explícito. A segunda camada avalia se modelos estatísticos conseguem aproximar a concentração esperada e quantificar incerteza. A terceira camada dependerá de dados reais para calibração e validação externa. Essa sequência evita interpretar simulação como validação clínica.</w:t>
      </w:r>
    </w:p>
    <w:p w14:paraId="7BFC2087" w14:textId="77777777" w:rsidR="00D14E1B" w:rsidRDefault="00000000">
      <w:pPr>
        <w:pStyle w:val="Ttulo1"/>
        <w:spacing w:before="240" w:after="120"/>
      </w:pPr>
      <w:r>
        <w:rPr>
          <w:rFonts w:ascii="Times New Roman" w:eastAsia="Times New Roman" w:hAnsi="Times New Roman"/>
          <w:sz w:val="26"/>
        </w:rPr>
        <w:t>9. Limitações</w:t>
      </w:r>
    </w:p>
    <w:p w14:paraId="1278E06B" w14:textId="77777777" w:rsidR="00D14E1B" w:rsidRDefault="00000000">
      <w:pPr>
        <w:spacing w:after="120" w:line="360" w:lineRule="auto"/>
      </w:pPr>
      <w:r>
        <w:t>A principal limitação é o uso exclusivo de dados simulados. O conjunto de dados não incorpora erro de horário de administração, erro de horário de coleta, alteração intradiária do clearance, instabilidade hemodinâmica, variação de albumina, uso de vasopressores, mudança de volume extracelular e interferências associadas à terapia renal substitutiva. Esses fatores podem alterar a concentração real sem aparecer nas variáveis de entrada.</w:t>
      </w:r>
    </w:p>
    <w:p w14:paraId="424628A3" w14:textId="77777777" w:rsidR="00D14E1B" w:rsidRDefault="00000000">
      <w:pPr>
        <w:spacing w:after="120" w:line="360" w:lineRule="auto"/>
      </w:pPr>
      <w:r>
        <w:t>O modelo monocompartimental simplifica a farmacocinética do meropenem. Essa simplificação é aceitável como etapa inicial de desenvolvimento e pode perder precisão em pacientes com comportamento multicompartmental, disfunção renal severa, alterações volumétricas importantes ou infusão em regimes complexos.</w:t>
      </w:r>
    </w:p>
    <w:p w14:paraId="1891BECC" w14:textId="77777777" w:rsidR="00D14E1B" w:rsidRDefault="00000000">
      <w:pPr>
        <w:spacing w:after="120" w:line="360" w:lineRule="auto"/>
      </w:pPr>
      <w:r>
        <w:t>As métricas apresentadas refletem a versão de desenvolvimento registrada no arquivo base. A reestruturação do treinamento, a inclusão de novas features temporais, a divisão por paciente e a calibração com dados externos podem alterar os valores de R², MAE e RMSE. Por essa razão, os números devem ser tratados como resultado de uma versão metodológica, não como desempenho final do sistema.</w:t>
      </w:r>
    </w:p>
    <w:p w14:paraId="2A5159D3" w14:textId="77777777" w:rsidR="00D14E1B" w:rsidRDefault="00000000">
      <w:pPr>
        <w:spacing w:after="120" w:line="360" w:lineRule="auto"/>
      </w:pPr>
      <w:r>
        <w:t>A ausência de validação externa impede inferência de aplicabilidade clínica. Antes de uso assistencial, o modelo deve ser testado com dados independentes que incluam concentração sérica medida, horário real de administração, horário real de coleta, função renal seriada e regime posológico documentado.</w:t>
      </w:r>
    </w:p>
    <w:p w14:paraId="0DEFB298" w14:textId="77777777" w:rsidR="00D14E1B" w:rsidRDefault="00000000">
      <w:pPr>
        <w:pStyle w:val="Ttulo1"/>
        <w:spacing w:before="240" w:after="120"/>
      </w:pPr>
      <w:r>
        <w:rPr>
          <w:rFonts w:ascii="Times New Roman" w:eastAsia="Times New Roman" w:hAnsi="Times New Roman"/>
          <w:sz w:val="26"/>
        </w:rPr>
        <w:lastRenderedPageBreak/>
        <w:t>10. Conclusão</w:t>
      </w:r>
    </w:p>
    <w:p w14:paraId="3FA33AE0" w14:textId="77777777" w:rsidR="00D14E1B" w:rsidRDefault="00000000">
      <w:pPr>
        <w:spacing w:after="120" w:line="360" w:lineRule="auto"/>
      </w:pPr>
      <w:r>
        <w:t>O estudo apresenta uma estrutura metodológica para comparar modelo PK/PD e algoritmos de machine learning na predição simulada de concentrações séricas de meropenem. O meropenem funcionou como fármaco piloto para testar a integração entre curva farmacocinética, alvos farmacodinâmicos e modelos estatísticos.</w:t>
      </w:r>
    </w:p>
    <w:p w14:paraId="74166C0D" w14:textId="77777777" w:rsidR="00D14E1B" w:rsidRDefault="00000000">
      <w:pPr>
        <w:spacing w:after="120" w:line="360" w:lineRule="auto"/>
      </w:pPr>
      <w:r>
        <w:t>Os modelos baseados em árvores reproduziram com alta precisão as concentrações geradas pelo modelo PK/PD na versão de desenvolvimento. Esse resultado indica aderência à simulação. Ele não indica validação clínica. O BayesianRidge teve menor desempenho e forneceu incerteza individual, característica útil para interpretação futura.</w:t>
      </w:r>
    </w:p>
    <w:p w14:paraId="1B3C3645" w14:textId="77777777" w:rsidR="00D14E1B" w:rsidRDefault="00000000">
      <w:pPr>
        <w:spacing w:after="120" w:line="360" w:lineRule="auto"/>
      </w:pPr>
      <w:r>
        <w:t>A principal contribuição do trabalho está na organização da comparação. O PK/PD permanece como referência interpretativa para cálculo de pico, vale, AUC/MIC e T&gt;MIC. A machine learning funciona como camada exploratória de aproximação e possível apoio à predição. A validação com dados reais independentes será necessária para definir utilidade clínica, estabilidade do erro e segurança de qualquer recomendação posológica.</w:t>
      </w:r>
    </w:p>
    <w:p w14:paraId="6FFABF2B" w14:textId="77777777" w:rsidR="00D14E1B" w:rsidRDefault="00000000">
      <w:pPr>
        <w:pStyle w:val="Ttulo1"/>
        <w:spacing w:before="240" w:after="120"/>
      </w:pPr>
      <w:r>
        <w:rPr>
          <w:rFonts w:ascii="Times New Roman" w:eastAsia="Times New Roman" w:hAnsi="Times New Roman"/>
          <w:sz w:val="26"/>
        </w:rPr>
        <w:t>Referências</w:t>
      </w:r>
    </w:p>
    <w:p w14:paraId="0184C71E" w14:textId="77777777" w:rsidR="00D14E1B" w:rsidRDefault="00000000">
      <w:pPr>
        <w:spacing w:after="80" w:line="240" w:lineRule="auto"/>
        <w:ind w:left="283" w:hanging="283"/>
      </w:pPr>
      <w:r>
        <w:rPr>
          <w:sz w:val="20"/>
        </w:rPr>
        <w:t>1. Roberts JA, Lipman J. Pharmacokinetic issues for antibiotics in the critically ill patient. Crit Care Med. 2009. 37(3). 840 a 851.</w:t>
      </w:r>
    </w:p>
    <w:p w14:paraId="5DD76BFD" w14:textId="77777777" w:rsidR="00D14E1B" w:rsidRDefault="00000000">
      <w:pPr>
        <w:spacing w:after="80" w:line="240" w:lineRule="auto"/>
        <w:ind w:left="283" w:hanging="283"/>
      </w:pPr>
      <w:r>
        <w:rPr>
          <w:sz w:val="20"/>
        </w:rPr>
        <w:t>2. Udy AA, Roberts JA, Lipman J. Implications of augmented renal clearance in critically ill patients. Nat Rev Nephrol. 2011. 7(9). 539 a 543.</w:t>
      </w:r>
    </w:p>
    <w:p w14:paraId="2C56BB8E" w14:textId="77777777" w:rsidR="00D14E1B" w:rsidRDefault="00000000">
      <w:pPr>
        <w:spacing w:after="80" w:line="240" w:lineRule="auto"/>
        <w:ind w:left="283" w:hanging="283"/>
      </w:pPr>
      <w:r>
        <w:rPr>
          <w:sz w:val="20"/>
        </w:rPr>
        <w:t>3. Craig WA. Pharmacokinetic and pharmacodynamic parameters. Clin Infect Dis. 1998. 26(1). 1 a 10.</w:t>
      </w:r>
    </w:p>
    <w:p w14:paraId="1665F215" w14:textId="77777777" w:rsidR="00D14E1B" w:rsidRDefault="00000000">
      <w:pPr>
        <w:spacing w:after="80" w:line="240" w:lineRule="auto"/>
        <w:ind w:left="283" w:hanging="283"/>
      </w:pPr>
      <w:r>
        <w:rPr>
          <w:sz w:val="20"/>
        </w:rPr>
        <w:t>4. Tamma PD, Aitken SL, Bonomo RA et al. IDSA guidance on the treatment of carbapenem resistant gram negative infections. Clin Infect Dis. 2022. 74(12). 2089 a 2114.</w:t>
      </w:r>
    </w:p>
    <w:p w14:paraId="6004CBA5" w14:textId="77777777" w:rsidR="00D14E1B" w:rsidRDefault="00000000">
      <w:pPr>
        <w:spacing w:after="80" w:line="240" w:lineRule="auto"/>
        <w:ind w:left="283" w:hanging="283"/>
      </w:pPr>
      <w:r>
        <w:rPr>
          <w:sz w:val="20"/>
        </w:rPr>
        <w:t>5. Bououda M, Uster DW, Sidorov E et al. A machine learning approach to predict interdose vancomycin exposure. Pharmaceutics. 2022. 14(3). 489.</w:t>
      </w:r>
    </w:p>
    <w:p w14:paraId="330565BD" w14:textId="77777777" w:rsidR="00D14E1B" w:rsidRDefault="00000000">
      <w:pPr>
        <w:spacing w:after="80" w:line="240" w:lineRule="auto"/>
        <w:ind w:left="283" w:hanging="283"/>
      </w:pPr>
      <w:r>
        <w:rPr>
          <w:sz w:val="20"/>
        </w:rPr>
        <w:t>6. Li G, Sun Y, Zhu L. Application of machine learning combined with population pharmacokinetics to improve individual prediction of vancomycin clearance in simulated adult patients. Front Pharmacol. 2024. 15. 1352113.</w:t>
      </w:r>
    </w:p>
    <w:p w14:paraId="711CD39B" w14:textId="77777777" w:rsidR="00D14E1B" w:rsidRDefault="00000000">
      <w:pPr>
        <w:spacing w:after="80" w:line="240" w:lineRule="auto"/>
        <w:ind w:left="283" w:hanging="283"/>
      </w:pPr>
      <w:r>
        <w:rPr>
          <w:sz w:val="20"/>
        </w:rPr>
        <w:t>7. Woillard JB, Labriffe M, Prémaud A, Marquet P. Estimation of drug exposure by machine learning based on simulations from a population pharmacokinetic model. CPT Pharmacometrics Syst Pharmacol. 2021. 10(10). 1198 a 1207.</w:t>
      </w:r>
    </w:p>
    <w:p w14:paraId="79EEDA3D" w14:textId="77777777" w:rsidR="00D14E1B" w:rsidRDefault="00000000">
      <w:pPr>
        <w:spacing w:after="80" w:line="240" w:lineRule="auto"/>
        <w:ind w:left="283" w:hanging="283"/>
      </w:pPr>
      <w:r>
        <w:rPr>
          <w:sz w:val="20"/>
        </w:rPr>
        <w:t>8. Storås AM, Bjørnstad E, Bjørnland T et al. Machine learning in drug pharmacokinetics. Review and perspectives. Drug Metab Pharmacokinet. 2023. 49. 100487.</w:t>
      </w:r>
    </w:p>
    <w:p w14:paraId="5B375CF4" w14:textId="77777777" w:rsidR="00D14E1B" w:rsidRDefault="00000000">
      <w:pPr>
        <w:spacing w:after="80" w:line="240" w:lineRule="auto"/>
        <w:ind w:left="283" w:hanging="283"/>
      </w:pPr>
      <w:r>
        <w:rPr>
          <w:sz w:val="20"/>
        </w:rPr>
        <w:t>9. Alobaid AS, Wallis SC, Jarrett P et al. Effect of obesity on the population pharmacokinetics of meropenem in critically ill patients. Antimicrob Agents Chemother. 2016. 60(8). 4577 a 4584.</w:t>
      </w:r>
    </w:p>
    <w:p w14:paraId="75F5F426" w14:textId="77777777" w:rsidR="00D14E1B" w:rsidRDefault="00000000">
      <w:pPr>
        <w:spacing w:after="80" w:line="240" w:lineRule="auto"/>
        <w:ind w:left="283" w:hanging="283"/>
      </w:pPr>
      <w:r>
        <w:rPr>
          <w:sz w:val="20"/>
        </w:rPr>
        <w:t>10. Braune S, König C, Roberts JA et al. Pharmacokinetics of meropenem in septic patients on sustained low efficiency dialysis. Crit Care. 2018. 22(1). 25.</w:t>
      </w:r>
    </w:p>
    <w:p w14:paraId="77A44B24" w14:textId="77777777" w:rsidR="00D14E1B" w:rsidRDefault="00000000">
      <w:pPr>
        <w:spacing w:after="80" w:line="240" w:lineRule="auto"/>
        <w:ind w:left="283" w:hanging="283"/>
      </w:pPr>
      <w:r>
        <w:rPr>
          <w:sz w:val="20"/>
        </w:rPr>
        <w:t>11. Boonpeng A et al. Optimization of meropenem dosing regimens in critically ill patients with augmented renal clearance. Antimicrob Agents Chemother. 2022. 66(2). e0183121.</w:t>
      </w:r>
    </w:p>
    <w:p w14:paraId="74E38F4C" w14:textId="77777777" w:rsidR="00D14E1B" w:rsidRDefault="00000000">
      <w:pPr>
        <w:spacing w:after="80" w:line="240" w:lineRule="auto"/>
        <w:ind w:left="283" w:hanging="283"/>
      </w:pPr>
      <w:r>
        <w:rPr>
          <w:sz w:val="20"/>
        </w:rPr>
        <w:lastRenderedPageBreak/>
        <w:t>12. Gonçalves Pereira J, Silva NE, Mateus A et al. Assessment of pharmacokinetic changes of meropenem during therapy in septic critically ill patients. BMC Pharmacol Toxicol. 2014. 15. 21.</w:t>
      </w:r>
    </w:p>
    <w:p w14:paraId="58FD541D" w14:textId="77777777" w:rsidR="00D14E1B" w:rsidRDefault="00000000">
      <w:pPr>
        <w:spacing w:after="80" w:line="240" w:lineRule="auto"/>
        <w:ind w:left="283" w:hanging="283"/>
      </w:pPr>
      <w:r>
        <w:rPr>
          <w:sz w:val="20"/>
        </w:rPr>
        <w:t>13. Mattioli F, Fucile C, Del Bono V et al. Population pharmacokinetics and probability of target attainment of meropenem in critically ill patients. Eur J Clin Pharmacol. 2016. 72. 839 a 848.</w:t>
      </w:r>
    </w:p>
    <w:p w14:paraId="0990BFF8" w14:textId="77777777" w:rsidR="00D14E1B" w:rsidRDefault="00000000">
      <w:pPr>
        <w:spacing w:after="80" w:line="240" w:lineRule="auto"/>
        <w:ind w:left="283" w:hanging="283"/>
      </w:pPr>
      <w:r>
        <w:rPr>
          <w:sz w:val="20"/>
        </w:rPr>
        <w:t>14. Rancic N et al. Population pharmacokinetics of meropenem in critically ill patients. Open Med. 2024.</w:t>
      </w:r>
    </w:p>
    <w:p w14:paraId="112141FF" w14:textId="77777777" w:rsidR="00D14E1B" w:rsidRDefault="00000000">
      <w:pPr>
        <w:spacing w:after="80" w:line="240" w:lineRule="auto"/>
        <w:ind w:left="283" w:hanging="283"/>
      </w:pPr>
      <w:r>
        <w:rPr>
          <w:sz w:val="20"/>
        </w:rPr>
        <w:t>15. Weber A et al. Meropenem pharmacokinetics in critically ill patients on renal replacement therapy. Infection. 2025.</w:t>
      </w:r>
    </w:p>
    <w:sectPr w:rsidR="00D14E1B"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22A8" w14:textId="77777777" w:rsidR="00370703" w:rsidRDefault="00370703">
      <w:pPr>
        <w:spacing w:after="0" w:line="240" w:lineRule="auto"/>
      </w:pPr>
      <w:r>
        <w:separator/>
      </w:r>
    </w:p>
  </w:endnote>
  <w:endnote w:type="continuationSeparator" w:id="0">
    <w:p w14:paraId="5FA35AC2" w14:textId="77777777" w:rsidR="00370703" w:rsidRDefault="0037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1E0E" w14:textId="77777777" w:rsidR="00D14E1B" w:rsidRDefault="00000000">
    <w:pPr>
      <w:pStyle w:val="Rodap"/>
      <w:jc w:val="center"/>
    </w:pPr>
    <w:r>
      <w:fldChar w:fldCharType="begin"/>
    </w:r>
    <w:r>
      <w:instrText>PAGE</w:instrText>
    </w:r>
    <w:r w:rsidR="00CD3D66">
      <w:fldChar w:fldCharType="separate"/>
    </w:r>
    <w:r w:rsidR="00CD3D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306F" w14:textId="77777777" w:rsidR="00370703" w:rsidRDefault="00370703">
      <w:pPr>
        <w:spacing w:after="0" w:line="240" w:lineRule="auto"/>
      </w:pPr>
      <w:r>
        <w:separator/>
      </w:r>
    </w:p>
  </w:footnote>
  <w:footnote w:type="continuationSeparator" w:id="0">
    <w:p w14:paraId="0328EFA3" w14:textId="77777777" w:rsidR="00370703" w:rsidRDefault="00370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09559077">
    <w:abstractNumId w:val="8"/>
  </w:num>
  <w:num w:numId="2" w16cid:durableId="2103380772">
    <w:abstractNumId w:val="6"/>
  </w:num>
  <w:num w:numId="3" w16cid:durableId="1019157427">
    <w:abstractNumId w:val="5"/>
  </w:num>
  <w:num w:numId="4" w16cid:durableId="1341079190">
    <w:abstractNumId w:val="4"/>
  </w:num>
  <w:num w:numId="5" w16cid:durableId="835612385">
    <w:abstractNumId w:val="7"/>
  </w:num>
  <w:num w:numId="6" w16cid:durableId="933592998">
    <w:abstractNumId w:val="3"/>
  </w:num>
  <w:num w:numId="7" w16cid:durableId="940141986">
    <w:abstractNumId w:val="2"/>
  </w:num>
  <w:num w:numId="8" w16cid:durableId="932132312">
    <w:abstractNumId w:val="1"/>
  </w:num>
  <w:num w:numId="9" w16cid:durableId="52009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703"/>
    <w:rsid w:val="00AA1D8D"/>
    <w:rsid w:val="00B47730"/>
    <w:rsid w:val="00CB0664"/>
    <w:rsid w:val="00CD3D66"/>
    <w:rsid w:val="00D14E1B"/>
    <w:rsid w:val="00ED4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E99BE"/>
  <w14:defaultImageDpi w14:val="300"/>
  <w15:docId w15:val="{B12E8117-4FA7-4775-A003-C97C325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3812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PK/PD como referência para avaliação de machine learning</dc:title>
  <dc:subject>Artigo metodológico com dados simulados</dc:subject>
  <dc:creator>Wildon</dc:creator>
  <cp:keywords>meropenem, PK/PD, machine learning, farmacocinética</cp:keywords>
  <dc:description/>
  <cp:lastModifiedBy>Wildon</cp:lastModifiedBy>
  <cp:revision>2</cp:revision>
  <dcterms:created xsi:type="dcterms:W3CDTF">2026-06-09T11:32:00Z</dcterms:created>
  <dcterms:modified xsi:type="dcterms:W3CDTF">2026-06-09T11:32:00Z</dcterms:modified>
  <cp:category/>
</cp:coreProperties>
</file>