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Oswald" w:cs="Oswald" w:eastAsia="Oswald" w:hAnsi="Oswald"/>
          <w:b w:val="1"/>
          <w:bCs w:val="1"/>
        </w:rPr>
      </w:pPr>
      <w:bookmarkStart w:colFirst="0" w:colLast="0" w:name="_ug8gfhcrh3h1" w:id="0"/>
      <w:bookmarkEnd w:id="0"/>
      <w:r w:rsidDel="00000000" w:rsidR="00000000" w:rsidRPr="00000000">
        <w:rPr>
          <w:rFonts w:ascii="Oswald" w:cs="Oswald" w:eastAsia="Oswald" w:hAnsi="Oswald"/>
          <w:b w:val="1"/>
          <w:bCs w:val="1"/>
          <w:rtl w:val="0"/>
        </w:rPr>
        <w:t xml:space="preserve">Compensation &amp; Equity Analytics </w:t>
      </w:r>
    </w:p>
    <w:p w:rsidR="00000000" w:rsidDel="00000000" w:rsidP="00000000" w:rsidRDefault="00000000" w:rsidRPr="00000000" w14:paraId="00000002">
      <w:pPr>
        <w:pStyle w:val="Heading4"/>
        <w:rPr>
          <w:rFonts w:ascii="Oswald" w:cs="Oswald" w:eastAsia="Oswald" w:hAnsi="Oswald"/>
          <w:b w:val="1"/>
          <w:bCs w:val="1"/>
        </w:rPr>
      </w:pPr>
      <w:bookmarkStart w:colFirst="0" w:colLast="0" w:name="_k4rer4t4pczj" w:id="1"/>
      <w:bookmarkEnd w:id="1"/>
      <w:r w:rsidDel="00000000" w:rsidR="00000000" w:rsidRPr="00000000">
        <w:rPr>
          <w:rFonts w:ascii="Oswald" w:cs="Oswald" w:eastAsia="Oswald" w:hAnsi="Oswald"/>
          <w:b w:val="1"/>
          <w:bCs w:val="1"/>
          <w:rtl w:val="0"/>
        </w:rPr>
        <w:t xml:space="preserve">1. Global Salary &amp; Total Compensation Distribution (Box Plot) </w:t>
      </w:r>
    </w:p>
    <w:p w:rsidR="00000000" w:rsidDel="00000000" w:rsidP="00000000" w:rsidRDefault="00000000" w:rsidRPr="00000000" w14:paraId="00000003">
      <w:pPr>
        <w:numPr>
          <w:ilvl w:val="0"/>
          <w:numId w:val="15"/>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Global Compensation Strategy:</w:t>
      </w:r>
      <w:r w:rsidDel="00000000" w:rsidR="00000000" w:rsidRPr="00000000">
        <w:rPr>
          <w:rFonts w:ascii="Oswald" w:cs="Oswald" w:eastAsia="Oswald" w:hAnsi="Oswald"/>
          <w:sz w:val="24"/>
          <w:szCs w:val="24"/>
          <w:rtl w:val="0"/>
        </w:rPr>
        <w:t xml:space="preserve"> Tier-1 tech hubs (Switzerland, US, Singapore) establish the global compensation ceiling for AI talent. Cross-border recruitment strategies must adjust compensation offers to match localized base expectations.</w:t>
      </w:r>
    </w:p>
    <w:p w:rsidR="00000000" w:rsidDel="00000000" w:rsidP="00000000" w:rsidRDefault="00000000" w:rsidRPr="00000000" w14:paraId="00000004">
      <w:pPr>
        <w:numPr>
          <w:ilvl w:val="0"/>
          <w:numId w:val="15"/>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Variable vs. Fixed Pay Structure:</w:t>
      </w:r>
      <w:r w:rsidDel="00000000" w:rsidR="00000000" w:rsidRPr="00000000">
        <w:rPr>
          <w:rFonts w:ascii="Oswald" w:cs="Oswald" w:eastAsia="Oswald" w:hAnsi="Oswald"/>
          <w:sz w:val="24"/>
          <w:szCs w:val="24"/>
          <w:rtl w:val="0"/>
        </w:rPr>
        <w:t xml:space="preserve"> Light blue bars highlight regions where compensation packages depend heavily on performance incentives rather than fixed base pay. This allows companies in high-growth tech hubs to stay competitive without permanently inflating base salary bands.</w:t>
      </w:r>
    </w:p>
    <w:p w:rsidR="00000000" w:rsidDel="00000000" w:rsidP="00000000" w:rsidRDefault="00000000" w:rsidRPr="00000000" w14:paraId="00000005">
      <w:pPr>
        <w:numPr>
          <w:ilvl w:val="0"/>
          <w:numId w:val="15"/>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Talent Sourcing Arbitrage:</w:t>
      </w:r>
      <w:r w:rsidDel="00000000" w:rsidR="00000000" w:rsidRPr="00000000">
        <w:rPr>
          <w:rFonts w:ascii="Oswald" w:cs="Oswald" w:eastAsia="Oswald" w:hAnsi="Oswald"/>
          <w:sz w:val="24"/>
          <w:szCs w:val="24"/>
          <w:rtl w:val="0"/>
        </w:rPr>
        <w:t xml:space="preserve"> Significant pay differences within the same geographical region (e.g., across Asian or North American markets) present cost-optimization opportunities for remote hiring.</w:t>
      </w:r>
    </w:p>
    <w:p w:rsidR="00000000" w:rsidDel="00000000" w:rsidP="00000000" w:rsidRDefault="00000000" w:rsidRPr="00000000" w14:paraId="00000006">
      <w:pPr>
        <w:pStyle w:val="Heading4"/>
        <w:rPr>
          <w:rFonts w:ascii="Oswald" w:cs="Oswald" w:eastAsia="Oswald" w:hAnsi="Oswald"/>
          <w:b w:val="1"/>
          <w:bCs w:val="1"/>
        </w:rPr>
      </w:pPr>
      <w:bookmarkStart w:colFirst="0" w:colLast="0" w:name="_qqoqs1hxkh2e" w:id="2"/>
      <w:bookmarkEnd w:id="2"/>
      <w:r w:rsidDel="00000000" w:rsidR="00000000" w:rsidRPr="00000000">
        <w:rPr>
          <w:rFonts w:ascii="Oswald" w:cs="Oswald" w:eastAsia="Oswald" w:hAnsi="Oswald"/>
          <w:b w:val="1"/>
          <w:bCs w:val="1"/>
          <w:rtl w:val="0"/>
        </w:rPr>
        <w:t xml:space="preserve">2. Salary Band vs. Experience &amp; Education Matrix (Scatter Plot / Trend Line) </w:t>
      </w:r>
    </w:p>
    <w:p w:rsidR="00000000" w:rsidDel="00000000" w:rsidP="00000000" w:rsidRDefault="00000000" w:rsidRPr="00000000" w14:paraId="00000007">
      <w:pPr>
        <w:numPr>
          <w:ilvl w:val="0"/>
          <w:numId w:val="11"/>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Career Progression vs. Tenure:</w:t>
      </w:r>
      <w:r w:rsidDel="00000000" w:rsidR="00000000" w:rsidRPr="00000000">
        <w:rPr>
          <w:rFonts w:ascii="Oswald" w:cs="Oswald" w:eastAsia="Oswald" w:hAnsi="Oswald"/>
          <w:sz w:val="24"/>
          <w:szCs w:val="24"/>
          <w:rtl w:val="0"/>
        </w:rPr>
        <w:t xml:space="preserve"> Compensation growth in AI talent management is driven by role scope and title transitions (e.g., Senior/Lead to Executive) rather than strictly accumulating years of experience.</w:t>
      </w:r>
    </w:p>
    <w:p w:rsidR="00000000" w:rsidDel="00000000" w:rsidP="00000000" w:rsidRDefault="00000000" w:rsidRPr="00000000" w14:paraId="00000008">
      <w:pPr>
        <w:numPr>
          <w:ilvl w:val="0"/>
          <w:numId w:val="11"/>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Impact of Advanced Degrees:</w:t>
      </w:r>
      <w:r w:rsidDel="00000000" w:rsidR="00000000" w:rsidRPr="00000000">
        <w:rPr>
          <w:rFonts w:ascii="Oswald" w:cs="Oswald" w:eastAsia="Oswald" w:hAnsi="Oswald"/>
          <w:sz w:val="24"/>
          <w:szCs w:val="24"/>
          <w:rtl w:val="0"/>
        </w:rPr>
        <w:t xml:space="preserve"> High specialized education requirements (Master's and PhD) unlock upper-tier executive compensation ceilings earlier in a career lifecycle.</w:t>
      </w:r>
    </w:p>
    <w:p w:rsidR="00000000" w:rsidDel="00000000" w:rsidP="00000000" w:rsidRDefault="00000000" w:rsidRPr="00000000" w14:paraId="00000009">
      <w:pPr>
        <w:numPr>
          <w:ilvl w:val="0"/>
          <w:numId w:val="11"/>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Benchmarking Pay Ranges:</w:t>
      </w:r>
      <w:r w:rsidDel="00000000" w:rsidR="00000000" w:rsidRPr="00000000">
        <w:rPr>
          <w:rFonts w:ascii="Oswald" w:cs="Oswald" w:eastAsia="Oswald" w:hAnsi="Oswald"/>
          <w:sz w:val="24"/>
          <w:szCs w:val="24"/>
          <w:rtl w:val="0"/>
        </w:rPr>
        <w:t xml:space="preserve"> Because salary bands are wide across fixed tenure levels, compensation benchmarking must account for role level and education alongside years of experience.</w:t>
      </w:r>
    </w:p>
    <w:p w:rsidR="00000000" w:rsidDel="00000000" w:rsidP="00000000" w:rsidRDefault="00000000" w:rsidRPr="00000000" w14:paraId="0000000A">
      <w:pPr>
        <w:pStyle w:val="Heading4"/>
        <w:rPr>
          <w:rFonts w:ascii="Oswald" w:cs="Oswald" w:eastAsia="Oswald" w:hAnsi="Oswald"/>
          <w:b w:val="1"/>
          <w:bCs w:val="1"/>
        </w:rPr>
      </w:pPr>
      <w:bookmarkStart w:colFirst="0" w:colLast="0" w:name="_4fr0ntp54a5v" w:id="3"/>
      <w:bookmarkEnd w:id="3"/>
      <w:r w:rsidDel="00000000" w:rsidR="00000000" w:rsidRPr="00000000">
        <w:rPr>
          <w:rFonts w:ascii="Oswald" w:cs="Oswald" w:eastAsia="Oswald" w:hAnsi="Oswald"/>
          <w:b w:val="1"/>
          <w:bCs w:val="1"/>
          <w:rtl w:val="0"/>
        </w:rPr>
        <w:t xml:space="preserve">3. Equity &amp; Incentive Breakdown by Company Size (100% Stacked Bar Chart) </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rFonts w:ascii="Oswald" w:cs="Oswald" w:eastAsia="Oswald" w:hAnsi="Oswald"/>
          <w:b w:val="1"/>
          <w:bCs w:val="1"/>
          <w:sz w:val="24"/>
          <w:szCs w:val="24"/>
          <w:rtl w:val="0"/>
        </w:rPr>
        <w:t xml:space="preserve">Market Equity Parity:</w:t>
      </w:r>
      <w:r w:rsidDel="00000000" w:rsidR="00000000" w:rsidRPr="00000000">
        <w:rPr>
          <w:rFonts w:ascii="Oswald" w:cs="Oswald" w:eastAsia="Oswald" w:hAnsi="Oswald"/>
          <w:sz w:val="24"/>
          <w:szCs w:val="24"/>
          <w:rtl w:val="0"/>
        </w:rPr>
        <w:t xml:space="preserve"> Company size is not a defining factor in whether AI roles receive equity offerings—rates remain consistent at roughly 1 in 3 roles across startups, mid-market, and large enterprises.</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rFonts w:ascii="Oswald" w:cs="Oswald" w:eastAsia="Oswald" w:hAnsi="Oswald"/>
          <w:b w:val="1"/>
          <w:bCs w:val="1"/>
          <w:sz w:val="24"/>
          <w:szCs w:val="24"/>
          <w:rtl w:val="0"/>
        </w:rPr>
        <w:t xml:space="preserve">Compensation Package Strategy:</w:t>
      </w:r>
      <w:r w:rsidDel="00000000" w:rsidR="00000000" w:rsidRPr="00000000">
        <w:rPr>
          <w:rFonts w:ascii="Oswald" w:cs="Oswald" w:eastAsia="Oswald" w:hAnsi="Oswald"/>
          <w:sz w:val="24"/>
          <w:szCs w:val="24"/>
          <w:rtl w:val="0"/>
        </w:rPr>
        <w:t xml:space="preserve"> Because equity availability is standardized across scale tiers, competitive positioning relies more heavily on equity value/upside rather than simple inclusion in job postings.</w:t>
      </w:r>
    </w:p>
    <w:p w:rsidR="00000000" w:rsidDel="00000000" w:rsidP="00000000" w:rsidRDefault="00000000" w:rsidRPr="00000000" w14:paraId="0000000D">
      <w:pPr>
        <w:numPr>
          <w:ilvl w:val="0"/>
          <w:numId w:val="3"/>
        </w:numPr>
        <w:ind w:left="720" w:hanging="360"/>
        <w:rPr>
          <w:sz w:val="24"/>
          <w:szCs w:val="24"/>
        </w:rPr>
      </w:pPr>
      <w:r w:rsidDel="00000000" w:rsidR="00000000" w:rsidRPr="00000000">
        <w:rPr>
          <w:rFonts w:ascii="Oswald" w:cs="Oswald" w:eastAsia="Oswald" w:hAnsi="Oswald"/>
          <w:b w:val="1"/>
          <w:bCs w:val="1"/>
          <w:sz w:val="24"/>
          <w:szCs w:val="24"/>
          <w:rtl w:val="0"/>
        </w:rPr>
        <w:t xml:space="preserve">Mid-Market Gap:</w:t>
      </w:r>
      <w:r w:rsidDel="00000000" w:rsidR="00000000" w:rsidRPr="00000000">
        <w:rPr>
          <w:rFonts w:ascii="Oswald" w:cs="Oswald" w:eastAsia="Oswald" w:hAnsi="Oswald"/>
          <w:sz w:val="24"/>
          <w:szCs w:val="24"/>
          <w:rtl w:val="0"/>
        </w:rPr>
        <w:t xml:space="preserve"> Medium-sized enterprises show a slight lag (~2% lower equity adoption), suggesting potential budget constraints or transition phases in compensation practices as firms scale past initial startup equity models.</w:t>
      </w:r>
    </w:p>
    <w:p w:rsidR="00000000" w:rsidDel="00000000" w:rsidP="00000000" w:rsidRDefault="00000000" w:rsidRPr="00000000" w14:paraId="0000000E">
      <w:pPr>
        <w:pStyle w:val="Heading4"/>
        <w:rPr>
          <w:rFonts w:ascii="Oswald" w:cs="Oswald" w:eastAsia="Oswald" w:hAnsi="Oswald"/>
          <w:b w:val="1"/>
          <w:bCs w:val="1"/>
        </w:rPr>
      </w:pPr>
      <w:bookmarkStart w:colFirst="0" w:colLast="0" w:name="_u7ep5jm5eqc6" w:id="4"/>
      <w:bookmarkEnd w:id="4"/>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0F">
      <w:pPr>
        <w:numPr>
          <w:ilvl w:val="0"/>
          <w:numId w:val="10"/>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Key Takeaway for HR Leadership:</w:t>
      </w:r>
      <w:r w:rsidDel="00000000" w:rsidR="00000000" w:rsidRPr="00000000">
        <w:rPr>
          <w:rFonts w:ascii="Oswald" w:cs="Oswald" w:eastAsia="Oswald" w:hAnsi="Oswald"/>
          <w:sz w:val="24"/>
          <w:szCs w:val="24"/>
          <w:rtl w:val="0"/>
        </w:rPr>
        <w:t xml:space="preserve"> To attract and retain top AI talent, compensation models must look beyond simple tenure. Compensation strategies should focus on geographic benchmarking, clear progression frameworks to executive/lead levels, and aggressive total-rewards packaging (variable bonuses and standard equity).</w:t>
      </w:r>
    </w:p>
    <w:p w:rsidR="00000000" w:rsidDel="00000000" w:rsidP="00000000" w:rsidRDefault="00000000" w:rsidRPr="00000000" w14:paraId="00000010">
      <w:pPr>
        <w:numPr>
          <w:ilvl w:val="0"/>
          <w:numId w:val="10"/>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Equity as a Standard Baseline:</w:t>
      </w:r>
      <w:r w:rsidDel="00000000" w:rsidR="00000000" w:rsidRPr="00000000">
        <w:rPr>
          <w:rFonts w:ascii="Oswald" w:cs="Oswald" w:eastAsia="Oswald" w:hAnsi="Oswald"/>
          <w:sz w:val="24"/>
          <w:szCs w:val="24"/>
          <w:rtl w:val="0"/>
        </w:rPr>
        <w:t xml:space="preserve"> Equity is no longer just a startup lure; enterprises and startups offer equity at virtually identical rates (~36%). Differentiating an offer requires providing greater equity upside or performance clarity, not just equity inclusion.</w:t>
      </w:r>
    </w:p>
    <w:p w:rsidR="00000000" w:rsidDel="00000000" w:rsidP="00000000" w:rsidRDefault="00000000" w:rsidRPr="00000000" w14:paraId="00000011">
      <w:pPr>
        <w:numPr>
          <w:ilvl w:val="0"/>
          <w:numId w:val="10"/>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Global Optimization:</w:t>
      </w:r>
      <w:r w:rsidDel="00000000" w:rsidR="00000000" w:rsidRPr="00000000">
        <w:rPr>
          <w:rFonts w:ascii="Oswald" w:cs="Oswald" w:eastAsia="Oswald" w:hAnsi="Oswald"/>
          <w:sz w:val="24"/>
          <w:szCs w:val="24"/>
          <w:rtl w:val="0"/>
        </w:rPr>
        <w:t xml:space="preserve"> Pay bands vary widely across borders. Organizations expanding globally should balance localized base salaries with performance-driven bonuses to remain competitive in tier-1 markets without permanently inflating baseline overhead.</w:t>
      </w:r>
    </w:p>
    <w:p w:rsidR="00000000" w:rsidDel="00000000" w:rsidP="00000000" w:rsidRDefault="00000000" w:rsidRPr="00000000" w14:paraId="00000012">
      <w:pPr>
        <w:rPr>
          <w:rFonts w:ascii="Oswald" w:cs="Oswald" w:eastAsia="Oswald" w:hAnsi="Oswald"/>
        </w:rPr>
      </w:pPr>
      <w:r w:rsidDel="00000000" w:rsidR="00000000" w:rsidRPr="00000000">
        <w:rPr>
          <w:rtl w:val="0"/>
        </w:rPr>
      </w:r>
    </w:p>
    <w:p w:rsidR="00000000" w:rsidDel="00000000" w:rsidP="00000000" w:rsidRDefault="00000000" w:rsidRPr="00000000" w14:paraId="00000013">
      <w:pPr>
        <w:pStyle w:val="Heading3"/>
        <w:rPr>
          <w:rFonts w:ascii="Oswald" w:cs="Oswald" w:eastAsia="Oswald" w:hAnsi="Oswald"/>
          <w:b w:val="1"/>
          <w:bCs w:val="1"/>
        </w:rPr>
      </w:pPr>
      <w:bookmarkStart w:colFirst="0" w:colLast="0" w:name="_16g86vuk673m" w:id="5"/>
      <w:bookmarkEnd w:id="5"/>
      <w:r w:rsidDel="00000000" w:rsidR="00000000" w:rsidRPr="00000000">
        <w:rPr>
          <w:rFonts w:ascii="Oswald" w:cs="Oswald" w:eastAsia="Oswald" w:hAnsi="Oswald"/>
          <w:b w:val="1"/>
          <w:bCs w:val="1"/>
          <w:rtl w:val="0"/>
        </w:rPr>
        <w:t xml:space="preserve">Industry, Market &amp; Investment Analysis </w:t>
      </w:r>
    </w:p>
    <w:p w:rsidR="00000000" w:rsidDel="00000000" w:rsidP="00000000" w:rsidRDefault="00000000" w:rsidRPr="00000000" w14:paraId="00000014">
      <w:pPr>
        <w:pStyle w:val="Heading4"/>
        <w:rPr>
          <w:rFonts w:ascii="Oswald" w:cs="Oswald" w:eastAsia="Oswald" w:hAnsi="Oswald"/>
          <w:b w:val="1"/>
          <w:bCs w:val="1"/>
        </w:rPr>
      </w:pPr>
      <w:bookmarkStart w:colFirst="0" w:colLast="0" w:name="_6zj0yflkudjk" w:id="6"/>
      <w:bookmarkEnd w:id="6"/>
      <w:r w:rsidDel="00000000" w:rsidR="00000000" w:rsidRPr="00000000">
        <w:rPr>
          <w:rFonts w:ascii="Oswald" w:cs="Oswald" w:eastAsia="Oswald" w:hAnsi="Oswald"/>
          <w:b w:val="1"/>
          <w:bCs w:val="1"/>
          <w:rtl w:val="0"/>
        </w:rPr>
        <w:t xml:space="preserve">4. Corporate AI Investment vs. Market Maturity Map (Symbol Map / Heatmap)</w:t>
      </w:r>
    </w:p>
    <w:p w:rsidR="00000000" w:rsidDel="00000000" w:rsidP="00000000" w:rsidRDefault="00000000" w:rsidRPr="00000000" w14:paraId="00000015">
      <w:pPr>
        <w:numPr>
          <w:ilvl w:val="0"/>
          <w:numId w:val="18"/>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Geographic Expansion &amp; Investment Focus:</w:t>
      </w:r>
      <w:r w:rsidDel="00000000" w:rsidR="00000000" w:rsidRPr="00000000">
        <w:rPr>
          <w:rFonts w:ascii="Oswald" w:cs="Oswald" w:eastAsia="Oswald" w:hAnsi="Oswald"/>
          <w:sz w:val="24"/>
          <w:szCs w:val="24"/>
          <w:rtl w:val="0"/>
        </w:rPr>
        <w:t xml:space="preserve"> Capital allocation is globally distributed, but technological maturity remains concentrated in established European innovation centers.</w:t>
      </w:r>
    </w:p>
    <w:p w:rsidR="00000000" w:rsidDel="00000000" w:rsidP="00000000" w:rsidRDefault="00000000" w:rsidRPr="00000000" w14:paraId="00000016">
      <w:pPr>
        <w:numPr>
          <w:ilvl w:val="0"/>
          <w:numId w:val="18"/>
        </w:numPr>
        <w:ind w:left="72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Maturity vs. Capital Deployment:</w:t>
      </w:r>
      <w:r w:rsidDel="00000000" w:rsidR="00000000" w:rsidRPr="00000000">
        <w:rPr>
          <w:rFonts w:ascii="Oswald" w:cs="Oswald" w:eastAsia="Oswald" w:hAnsi="Oswald"/>
          <w:sz w:val="24"/>
          <w:szCs w:val="24"/>
          <w:rtl w:val="0"/>
        </w:rPr>
        <w:t xml:space="preserve"> Organizations expanding internationally should distinguish between markets receiving high financial capital vs. those with established operational AI maturity. Emerging markets with large investment bubbles (red circles) represent high-growth opportunity zones, whereas green-shaded regions offer mature infrastructure and specialized talent pools.</w:t>
      </w:r>
      <w:r w:rsidDel="00000000" w:rsidR="00000000" w:rsidRPr="00000000">
        <w:rPr>
          <w:rtl w:val="0"/>
        </w:rPr>
      </w:r>
    </w:p>
    <w:p w:rsidR="00000000" w:rsidDel="00000000" w:rsidP="00000000" w:rsidRDefault="00000000" w:rsidRPr="00000000" w14:paraId="00000017">
      <w:pPr>
        <w:pStyle w:val="Heading4"/>
        <w:rPr>
          <w:rFonts w:ascii="Oswald" w:cs="Oswald" w:eastAsia="Oswald" w:hAnsi="Oswald"/>
          <w:b w:val="1"/>
          <w:bCs w:val="1"/>
        </w:rPr>
      </w:pPr>
      <w:bookmarkStart w:colFirst="0" w:colLast="0" w:name="_g04fkxtv2v98" w:id="7"/>
      <w:bookmarkEnd w:id="7"/>
      <w:r w:rsidDel="00000000" w:rsidR="00000000" w:rsidRPr="00000000">
        <w:rPr>
          <w:rFonts w:ascii="Oswald" w:cs="Oswald" w:eastAsia="Oswald" w:hAnsi="Oswald"/>
          <w:b w:val="1"/>
          <w:bCs w:val="1"/>
          <w:rtl w:val="0"/>
        </w:rPr>
        <w:t xml:space="preserve">5. AI Specialization &amp; Industry Revenue Treemap </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Oswald" w:cs="Oswald" w:eastAsia="Oswald" w:hAnsi="Oswald"/>
          <w:b w:val="1"/>
          <w:bCs w:val="1"/>
          <w:sz w:val="24"/>
          <w:szCs w:val="24"/>
          <w:rtl w:val="0"/>
        </w:rPr>
        <w:t xml:space="preserve">Talent Demand Fragmentation:</w:t>
      </w:r>
      <w:r w:rsidDel="00000000" w:rsidR="00000000" w:rsidRPr="00000000">
        <w:rPr>
          <w:rFonts w:ascii="Oswald" w:cs="Oswald" w:eastAsia="Oswald" w:hAnsi="Oswald"/>
          <w:sz w:val="24"/>
          <w:szCs w:val="24"/>
          <w:rtl w:val="0"/>
        </w:rPr>
        <w:t xml:space="preserve"> The treemap highlights how AI hiring spans multiple domains and industries, requiring targeted recruitment strategies rather than a one-size-fits-all approach.</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Oswald" w:cs="Oswald" w:eastAsia="Oswald" w:hAnsi="Oswald"/>
          <w:b w:val="1"/>
          <w:bCs w:val="1"/>
          <w:sz w:val="24"/>
          <w:szCs w:val="24"/>
          <w:rtl w:val="0"/>
        </w:rPr>
        <w:t xml:space="preserve">Compensation vs. Demand Strategy:</w:t>
      </w:r>
      <w:r w:rsidDel="00000000" w:rsidR="00000000" w:rsidRPr="00000000">
        <w:rPr>
          <w:rFonts w:ascii="Oswald" w:cs="Oswald" w:eastAsia="Oswald" w:hAnsi="Oswald"/>
          <w:sz w:val="24"/>
          <w:szCs w:val="24"/>
          <w:rtl w:val="0"/>
        </w:rPr>
        <w:t xml:space="preserve"> Premium pay ($200K+) isn't tied exclusively to high-volume hiring; niche specializations with small headcount demands often require top-dollar offers due to skill scarcity.</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Oswald" w:cs="Oswald" w:eastAsia="Oswald" w:hAnsi="Oswald"/>
          <w:b w:val="1"/>
          <w:bCs w:val="1"/>
          <w:sz w:val="24"/>
          <w:szCs w:val="24"/>
          <w:rtl w:val="0"/>
        </w:rPr>
        <w:t xml:space="preserve">Budget Optimization:</w:t>
      </w:r>
      <w:r w:rsidDel="00000000" w:rsidR="00000000" w:rsidRPr="00000000">
        <w:rPr>
          <w:rFonts w:ascii="Oswald" w:cs="Oswald" w:eastAsia="Oswald" w:hAnsi="Oswald"/>
          <w:sz w:val="24"/>
          <w:szCs w:val="24"/>
          <w:rtl w:val="0"/>
        </w:rPr>
        <w:t xml:space="preserve"> Lower-paying, high-volume blocks (light green/yellow) represent areas where headcount can be scaled cost-effectively without inflating baseline talent costs.</w:t>
      </w:r>
      <w:r w:rsidDel="00000000" w:rsidR="00000000" w:rsidRPr="00000000">
        <w:rPr>
          <w:rtl w:val="0"/>
        </w:rPr>
      </w:r>
    </w:p>
    <w:p w:rsidR="00000000" w:rsidDel="00000000" w:rsidP="00000000" w:rsidRDefault="00000000" w:rsidRPr="00000000" w14:paraId="0000001B">
      <w:pPr>
        <w:pStyle w:val="Heading4"/>
        <w:rPr>
          <w:rFonts w:ascii="Oswald" w:cs="Oswald" w:eastAsia="Oswald" w:hAnsi="Oswald"/>
          <w:b w:val="1"/>
          <w:bCs w:val="1"/>
        </w:rPr>
      </w:pPr>
      <w:bookmarkStart w:colFirst="0" w:colLast="0" w:name="_5955dytq7rhy" w:id="8"/>
      <w:bookmarkEnd w:id="8"/>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1C">
      <w:pPr>
        <w:numPr>
          <w:ilvl w:val="0"/>
          <w:numId w:val="6"/>
        </w:numPr>
        <w:ind w:left="720" w:hanging="360"/>
        <w:rPr>
          <w:sz w:val="24"/>
          <w:szCs w:val="24"/>
        </w:rPr>
      </w:pPr>
      <w:r w:rsidDel="00000000" w:rsidR="00000000" w:rsidRPr="00000000">
        <w:rPr>
          <w:rFonts w:ascii="Oswald" w:cs="Oswald" w:eastAsia="Oswald" w:hAnsi="Oswald"/>
          <w:b w:val="1"/>
          <w:bCs w:val="1"/>
          <w:sz w:val="24"/>
          <w:szCs w:val="24"/>
          <w:rtl w:val="0"/>
        </w:rPr>
        <w:t xml:space="preserve">Connecting Capital to Talent Acquisition:</w:t>
      </w:r>
      <w:r w:rsidDel="00000000" w:rsidR="00000000" w:rsidRPr="00000000">
        <w:rPr>
          <w:rFonts w:ascii="Oswald" w:cs="Oswald" w:eastAsia="Oswald" w:hAnsi="Oswald"/>
          <w:sz w:val="24"/>
          <w:szCs w:val="24"/>
          <w:rtl w:val="0"/>
        </w:rPr>
        <w:t xml:space="preserve"> When presenting these two visuals together, emphasize that corporate AI strategy requires matching global investment maps with localized recruitment economics.</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rFonts w:ascii="Oswald" w:cs="Oswald" w:eastAsia="Oswald" w:hAnsi="Oswald"/>
          <w:b w:val="1"/>
          <w:bCs w:val="1"/>
          <w:sz w:val="24"/>
          <w:szCs w:val="24"/>
          <w:rtl w:val="0"/>
        </w:rPr>
        <w:t xml:space="preserve">Budget Planning Strategy:</w:t>
      </w:r>
      <w:r w:rsidDel="00000000" w:rsidR="00000000" w:rsidRPr="00000000">
        <w:rPr>
          <w:rFonts w:ascii="Oswald" w:cs="Oswald" w:eastAsia="Oswald" w:hAnsi="Oswald"/>
          <w:sz w:val="24"/>
          <w:szCs w:val="24"/>
          <w:rtl w:val="0"/>
        </w:rPr>
        <w:t xml:space="preserve"> Capital investment (bubble size in the map) dictates where funding is flowing, but the treemap reveals where payroll budget is actually spent. High-volume, high-cost blocks require major baseline capital, whereas small, dark green blocks represent critical skill bottlenecks that require top-of-market compensation despite low overall headcount.</w:t>
      </w:r>
    </w:p>
    <w:p w:rsidR="00000000" w:rsidDel="00000000" w:rsidP="00000000" w:rsidRDefault="00000000" w:rsidRPr="00000000" w14:paraId="0000001E">
      <w:pPr>
        <w:numPr>
          <w:ilvl w:val="0"/>
          <w:numId w:val="6"/>
        </w:numPr>
        <w:ind w:left="720" w:hanging="360"/>
        <w:rPr>
          <w:sz w:val="24"/>
          <w:szCs w:val="24"/>
        </w:rPr>
      </w:pPr>
      <w:r w:rsidDel="00000000" w:rsidR="00000000" w:rsidRPr="00000000">
        <w:rPr>
          <w:rFonts w:ascii="Oswald" w:cs="Oswald" w:eastAsia="Oswald" w:hAnsi="Oswald"/>
          <w:b w:val="1"/>
          <w:bCs w:val="1"/>
          <w:sz w:val="24"/>
          <w:szCs w:val="24"/>
          <w:rtl w:val="0"/>
        </w:rPr>
        <w:t xml:space="preserve">Actionable Takeaway for Leadership:</w:t>
      </w:r>
      <w:r w:rsidDel="00000000" w:rsidR="00000000" w:rsidRPr="00000000">
        <w:rPr>
          <w:rFonts w:ascii="Oswald" w:cs="Oswald" w:eastAsia="Oswald" w:hAnsi="Oswald"/>
          <w:sz w:val="24"/>
          <w:szCs w:val="24"/>
          <w:rtl w:val="0"/>
        </w:rPr>
        <w:t xml:space="preserve"> Focus international expansion and recruitment hubs in regions displaying both high AI maturity scores (green map regions) and balanced compensation-to-volume ratios to maximize ROI on global headcount spend.</w:t>
      </w:r>
    </w:p>
    <w:p w:rsidR="00000000" w:rsidDel="00000000" w:rsidP="00000000" w:rsidRDefault="00000000" w:rsidRPr="00000000" w14:paraId="0000001F">
      <w:pPr>
        <w:pStyle w:val="Heading3"/>
        <w:rPr>
          <w:rFonts w:ascii="Oswald" w:cs="Oswald" w:eastAsia="Oswald" w:hAnsi="Oswald"/>
          <w:b w:val="1"/>
          <w:bCs w:val="1"/>
        </w:rPr>
      </w:pPr>
      <w:bookmarkStart w:colFirst="0" w:colLast="0" w:name="_q01cu9oluxaz" w:id="9"/>
      <w:bookmarkEnd w:id="9"/>
      <w:r w:rsidDel="00000000" w:rsidR="00000000" w:rsidRPr="00000000">
        <w:rPr>
          <w:rFonts w:ascii="Oswald" w:cs="Oswald" w:eastAsia="Oswald" w:hAnsi="Oswald"/>
          <w:b w:val="1"/>
          <w:bCs w:val="1"/>
          <w:rtl w:val="0"/>
        </w:rPr>
        <w:t xml:space="preserve">Talent Supply, Demand &amp; Hiring Dynamics </w:t>
      </w:r>
    </w:p>
    <w:p w:rsidR="00000000" w:rsidDel="00000000" w:rsidP="00000000" w:rsidRDefault="00000000" w:rsidRPr="00000000" w14:paraId="00000020">
      <w:pPr>
        <w:pStyle w:val="Heading4"/>
        <w:rPr>
          <w:rFonts w:ascii="Oswald" w:cs="Oswald" w:eastAsia="Oswald" w:hAnsi="Oswald"/>
          <w:b w:val="1"/>
          <w:bCs w:val="1"/>
        </w:rPr>
      </w:pPr>
      <w:bookmarkStart w:colFirst="0" w:colLast="0" w:name="_5n4ur46jb1oa" w:id="10"/>
      <w:bookmarkEnd w:id="10"/>
      <w:r w:rsidDel="00000000" w:rsidR="00000000" w:rsidRPr="00000000">
        <w:rPr>
          <w:rFonts w:ascii="Oswald" w:cs="Oswald" w:eastAsia="Oswald" w:hAnsi="Oswald"/>
          <w:b w:val="1"/>
          <w:bCs w:val="1"/>
          <w:rtl w:val="0"/>
        </w:rPr>
        <w:t xml:space="preserve">6. Hiring Difficulty vs. Competition Index (4-Quadrant Scatter Plot) </w:t>
      </w:r>
    </w:p>
    <w:p w:rsidR="00000000" w:rsidDel="00000000" w:rsidP="00000000" w:rsidRDefault="00000000" w:rsidRPr="00000000" w14:paraId="00000021">
      <w:pPr>
        <w:numPr>
          <w:ilvl w:val="0"/>
          <w:numId w:val="14"/>
        </w:numPr>
        <w:ind w:left="720" w:hanging="360"/>
        <w:rPr>
          <w:sz w:val="24"/>
          <w:szCs w:val="24"/>
        </w:rPr>
      </w:pPr>
      <w:r w:rsidDel="00000000" w:rsidR="00000000" w:rsidRPr="00000000">
        <w:rPr>
          <w:rFonts w:ascii="Oswald" w:cs="Oswald" w:eastAsia="Oswald" w:hAnsi="Oswald"/>
          <w:b w:val="1"/>
          <w:bCs w:val="1"/>
          <w:sz w:val="24"/>
          <w:szCs w:val="24"/>
          <w:rtl w:val="0"/>
        </w:rPr>
        <w:t xml:space="preserve">Talent Sourcing Complexity:</w:t>
      </w:r>
      <w:r w:rsidDel="00000000" w:rsidR="00000000" w:rsidRPr="00000000">
        <w:rPr>
          <w:rFonts w:ascii="Oswald" w:cs="Oswald" w:eastAsia="Oswald" w:hAnsi="Oswald"/>
          <w:sz w:val="24"/>
          <w:szCs w:val="24"/>
          <w:rtl w:val="0"/>
        </w:rPr>
        <w:t xml:space="preserve"> High competition does not imply easy hiring. Top-right roles (e.g., Autonomous Vehicle Engineer, AI Infrastructure Engineer) receive high applicant volumes but remain difficult to fill, pointing to a significant skill gap among candidates.</w:t>
      </w:r>
    </w:p>
    <w:p w:rsidR="00000000" w:rsidDel="00000000" w:rsidP="00000000" w:rsidRDefault="00000000" w:rsidRPr="00000000" w14:paraId="00000022">
      <w:pPr>
        <w:numPr>
          <w:ilvl w:val="0"/>
          <w:numId w:val="14"/>
        </w:numPr>
        <w:ind w:left="720" w:hanging="360"/>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Strategic Recruiting Prioritization:</w:t>
      </w:r>
    </w:p>
    <w:p w:rsidR="00000000" w:rsidDel="00000000" w:rsidP="00000000" w:rsidRDefault="00000000" w:rsidRPr="00000000" w14:paraId="00000023">
      <w:pPr>
        <w:numPr>
          <w:ilvl w:val="1"/>
          <w:numId w:val="14"/>
        </w:numPr>
        <w:ind w:left="1440" w:hanging="360"/>
        <w:rPr>
          <w:rFonts w:ascii="Oswald" w:cs="Oswald" w:eastAsia="Oswald" w:hAnsi="Oswald"/>
          <w:sz w:val="24"/>
          <w:szCs w:val="24"/>
        </w:rPr>
      </w:pPr>
      <w:r w:rsidDel="00000000" w:rsidR="00000000" w:rsidRPr="00000000">
        <w:rPr>
          <w:rFonts w:ascii="Oswald" w:cs="Oswald" w:eastAsia="Oswald" w:hAnsi="Oswald"/>
          <w:sz w:val="24"/>
          <w:szCs w:val="24"/>
          <w:rtl w:val="0"/>
        </w:rPr>
        <w:t xml:space="preserve">Focus candidate screening and assessment resources on top-right roles where volume is high but qualified talent is scarce.</w:t>
      </w:r>
    </w:p>
    <w:p w:rsidR="00000000" w:rsidDel="00000000" w:rsidP="00000000" w:rsidRDefault="00000000" w:rsidRPr="00000000" w14:paraId="00000024">
      <w:pPr>
        <w:numPr>
          <w:ilvl w:val="1"/>
          <w:numId w:val="14"/>
        </w:numPr>
        <w:ind w:left="1440" w:hanging="360"/>
        <w:rPr>
          <w:rFonts w:ascii="Oswald" w:cs="Oswald" w:eastAsia="Oswald" w:hAnsi="Oswald"/>
          <w:sz w:val="24"/>
          <w:szCs w:val="24"/>
        </w:rPr>
      </w:pPr>
      <w:r w:rsidDel="00000000" w:rsidR="00000000" w:rsidRPr="00000000">
        <w:rPr>
          <w:rFonts w:ascii="Oswald" w:cs="Oswald" w:eastAsia="Oswald" w:hAnsi="Oswald"/>
          <w:sz w:val="24"/>
          <w:szCs w:val="24"/>
          <w:rtl w:val="0"/>
        </w:rPr>
        <w:t xml:space="preserve">Roles in the bottom-left quadrant (like Generative AI Engineer or AI Operations Manager) represent lower friction hiring opportunities with lower competition and difficulty scores.</w:t>
      </w:r>
    </w:p>
    <w:p w:rsidR="00000000" w:rsidDel="00000000" w:rsidP="00000000" w:rsidRDefault="00000000" w:rsidRPr="00000000" w14:paraId="00000025">
      <w:pPr>
        <w:numPr>
          <w:ilvl w:val="0"/>
          <w:numId w:val="14"/>
        </w:numPr>
        <w:ind w:left="720" w:hanging="360"/>
        <w:rPr>
          <w:b w:val="1"/>
          <w:bCs w:val="1"/>
          <w:sz w:val="24"/>
          <w:szCs w:val="24"/>
        </w:rPr>
      </w:pPr>
      <w:r w:rsidDel="00000000" w:rsidR="00000000" w:rsidRPr="00000000">
        <w:rPr>
          <w:rFonts w:ascii="Oswald" w:cs="Oswald" w:eastAsia="Oswald" w:hAnsi="Oswald"/>
          <w:b w:val="1"/>
          <w:bCs w:val="1"/>
          <w:sz w:val="24"/>
          <w:szCs w:val="24"/>
          <w:rtl w:val="0"/>
        </w:rPr>
        <w:t xml:space="preserve">Workforce Planning Takeaway: </w:t>
      </w:r>
      <w:r w:rsidDel="00000000" w:rsidR="00000000" w:rsidRPr="00000000">
        <w:rPr>
          <w:rFonts w:ascii="Oswald" w:cs="Oswald" w:eastAsia="Oswald" w:hAnsi="Oswald"/>
          <w:sz w:val="24"/>
          <w:szCs w:val="24"/>
          <w:rtl w:val="0"/>
        </w:rPr>
        <w:t xml:space="preserve">Sourcing strategy must adjust per quadrant—using automated screening for high-competition/high-difficulty roles while relying on direct sourcing for niche skills.</w:t>
      </w:r>
      <w:r w:rsidDel="00000000" w:rsidR="00000000" w:rsidRPr="00000000">
        <w:rPr>
          <w:rFonts w:ascii="Oswald" w:cs="Oswald" w:eastAsia="Oswald" w:hAnsi="Oswald"/>
          <w:b w:val="1"/>
          <w:bCs w:val="1"/>
          <w:sz w:val="24"/>
          <w:szCs w:val="24"/>
          <w:rtl w:val="0"/>
        </w:rPr>
        <w:t xml:space="preserve"> </w:t>
      </w:r>
    </w:p>
    <w:p w:rsidR="00000000" w:rsidDel="00000000" w:rsidP="00000000" w:rsidRDefault="00000000" w:rsidRPr="00000000" w14:paraId="00000026">
      <w:pPr>
        <w:pStyle w:val="Heading4"/>
        <w:rPr>
          <w:rFonts w:ascii="Oswald" w:cs="Oswald" w:eastAsia="Oswald" w:hAnsi="Oswald"/>
          <w:b w:val="1"/>
          <w:bCs w:val="1"/>
        </w:rPr>
      </w:pPr>
      <w:bookmarkStart w:colFirst="0" w:colLast="0" w:name="_iri8nltdiv64" w:id="11"/>
      <w:bookmarkEnd w:id="11"/>
      <w:r w:rsidDel="00000000" w:rsidR="00000000" w:rsidRPr="00000000">
        <w:rPr>
          <w:rFonts w:ascii="Oswald" w:cs="Oswald" w:eastAsia="Oswald" w:hAnsi="Oswald"/>
          <w:b w:val="1"/>
          <w:bCs w:val="1"/>
          <w:rtl w:val="0"/>
        </w:rPr>
        <w:t xml:space="preserve">7. Top Required Skills &amp; Certifications Matrix (Heatmap) </w:t>
      </w:r>
    </w:p>
    <w:p w:rsidR="00000000" w:rsidDel="00000000" w:rsidP="00000000" w:rsidRDefault="00000000" w:rsidRPr="00000000" w14:paraId="00000027">
      <w:pPr>
        <w:numPr>
          <w:ilvl w:val="0"/>
          <w:numId w:val="13"/>
        </w:numPr>
        <w:ind w:left="720" w:hanging="360"/>
        <w:rPr>
          <w:sz w:val="24"/>
          <w:szCs w:val="24"/>
        </w:rPr>
      </w:pPr>
      <w:r w:rsidDel="00000000" w:rsidR="00000000" w:rsidRPr="00000000">
        <w:rPr>
          <w:rFonts w:ascii="Oswald" w:cs="Oswald" w:eastAsia="Oswald" w:hAnsi="Oswald"/>
          <w:b w:val="1"/>
          <w:bCs w:val="1"/>
          <w:sz w:val="24"/>
          <w:szCs w:val="24"/>
          <w:rtl w:val="0"/>
        </w:rPr>
        <w:t xml:space="preserve">Certification vs. Practical Experience:</w:t>
      </w:r>
      <w:r w:rsidDel="00000000" w:rsidR="00000000" w:rsidRPr="00000000">
        <w:rPr>
          <w:rFonts w:ascii="Oswald" w:cs="Oswald" w:eastAsia="Oswald" w:hAnsi="Oswald"/>
          <w:sz w:val="24"/>
          <w:szCs w:val="24"/>
          <w:rtl w:val="0"/>
        </w:rPr>
        <w:t xml:space="preserve"> While specialized AI certifications (like DeepLearning.ai or Google ML) significantly boost job posting counts for research, deep learning, and robotics roles, foundational leadership and data analysis skills still command high hiring volume without requiring vendor certifications.</w:t>
      </w:r>
    </w:p>
    <w:p w:rsidR="00000000" w:rsidDel="00000000" w:rsidP="00000000" w:rsidRDefault="00000000" w:rsidRPr="00000000" w14:paraId="00000028">
      <w:pPr>
        <w:numPr>
          <w:ilvl w:val="0"/>
          <w:numId w:val="13"/>
        </w:numPr>
        <w:ind w:left="720" w:hanging="360"/>
        <w:rPr>
          <w:sz w:val="24"/>
          <w:szCs w:val="24"/>
        </w:rPr>
      </w:pPr>
      <w:r w:rsidDel="00000000" w:rsidR="00000000" w:rsidRPr="00000000">
        <w:rPr>
          <w:rFonts w:ascii="Oswald" w:cs="Oswald" w:eastAsia="Oswald" w:hAnsi="Oswald"/>
          <w:b w:val="1"/>
          <w:bCs w:val="1"/>
          <w:sz w:val="24"/>
          <w:szCs w:val="24"/>
          <w:rtl w:val="0"/>
        </w:rPr>
        <w:t xml:space="preserve">Sourcing Strategy Focus:</w:t>
      </w:r>
      <w:r w:rsidDel="00000000" w:rsidR="00000000" w:rsidRPr="00000000">
        <w:rPr>
          <w:rFonts w:ascii="Oswald" w:cs="Oswald" w:eastAsia="Oswald" w:hAnsi="Oswald"/>
          <w:sz w:val="24"/>
          <w:szCs w:val="24"/>
          <w:rtl w:val="0"/>
        </w:rPr>
        <w:t xml:space="preserve"> To source top-tier research and deep learning candidates, recruit across pools with Multiple certifications or DeepLearning.ai/Google ML credentials, where posting counts peak (up to 248 openings).</w:t>
      </w:r>
    </w:p>
    <w:p w:rsidR="00000000" w:rsidDel="00000000" w:rsidP="00000000" w:rsidRDefault="00000000" w:rsidRPr="00000000" w14:paraId="00000029">
      <w:pPr>
        <w:numPr>
          <w:ilvl w:val="0"/>
          <w:numId w:val="13"/>
        </w:numPr>
        <w:ind w:left="720" w:hanging="360"/>
        <w:rPr>
          <w:sz w:val="24"/>
          <w:szCs w:val="24"/>
        </w:rPr>
      </w:pPr>
      <w:r w:rsidDel="00000000" w:rsidR="00000000" w:rsidRPr="00000000">
        <w:rPr>
          <w:rFonts w:ascii="Oswald" w:cs="Oswald" w:eastAsia="Oswald" w:hAnsi="Oswald"/>
          <w:b w:val="1"/>
          <w:bCs w:val="1"/>
          <w:sz w:val="24"/>
          <w:szCs w:val="24"/>
          <w:rtl w:val="0"/>
        </w:rPr>
        <w:t xml:space="preserve">Up-skilling Framework:</w:t>
      </w:r>
      <w:r w:rsidDel="00000000" w:rsidR="00000000" w:rsidRPr="00000000">
        <w:rPr>
          <w:rFonts w:ascii="Oswald" w:cs="Oswald" w:eastAsia="Oswald" w:hAnsi="Oswald"/>
          <w:sz w:val="24"/>
          <w:szCs w:val="24"/>
          <w:rtl w:val="0"/>
        </w:rPr>
        <w:t xml:space="preserve"> Target internal talent development on high-frequency skill combinations (e.g., PyTorch, ROS, and cloud infrastructure) paired with vendor ML certifications to meet peak market requirements.</w:t>
      </w:r>
      <w:r w:rsidDel="00000000" w:rsidR="00000000" w:rsidRPr="00000000">
        <w:rPr>
          <w:rtl w:val="0"/>
        </w:rPr>
      </w:r>
    </w:p>
    <w:p w:rsidR="00000000" w:rsidDel="00000000" w:rsidP="00000000" w:rsidRDefault="00000000" w:rsidRPr="00000000" w14:paraId="0000002A">
      <w:pPr>
        <w:pStyle w:val="Heading4"/>
        <w:rPr>
          <w:rFonts w:ascii="Oswald" w:cs="Oswald" w:eastAsia="Oswald" w:hAnsi="Oswald"/>
          <w:b w:val="1"/>
          <w:bCs w:val="1"/>
        </w:rPr>
      </w:pPr>
      <w:bookmarkStart w:colFirst="0" w:colLast="0" w:name="_xoi6lmktzbdr" w:id="12"/>
      <w:bookmarkEnd w:id="12"/>
      <w:r w:rsidDel="00000000" w:rsidR="00000000" w:rsidRPr="00000000">
        <w:rPr>
          <w:rFonts w:ascii="Oswald" w:cs="Oswald" w:eastAsia="Oswald" w:hAnsi="Oswald"/>
          <w:b w:val="1"/>
          <w:bCs w:val="1"/>
          <w:rtl w:val="0"/>
        </w:rPr>
        <w:t xml:space="preserve">8. Automation Risk vs. Job Growth Projection (Bubble Chart) </w:t>
      </w:r>
    </w:p>
    <w:p w:rsidR="00000000" w:rsidDel="00000000" w:rsidP="00000000" w:rsidRDefault="00000000" w:rsidRPr="00000000" w14:paraId="0000002B">
      <w:pPr>
        <w:numPr>
          <w:ilvl w:val="0"/>
          <w:numId w:val="12"/>
        </w:numPr>
        <w:ind w:left="720" w:hanging="360"/>
        <w:rPr>
          <w:sz w:val="24"/>
          <w:szCs w:val="24"/>
        </w:rPr>
      </w:pPr>
      <w:r w:rsidDel="00000000" w:rsidR="00000000" w:rsidRPr="00000000">
        <w:rPr>
          <w:rFonts w:ascii="Oswald" w:cs="Oswald" w:eastAsia="Oswald" w:hAnsi="Oswald"/>
          <w:b w:val="1"/>
          <w:bCs w:val="1"/>
          <w:sz w:val="24"/>
          <w:szCs w:val="24"/>
          <w:rtl w:val="0"/>
        </w:rPr>
        <w:t xml:space="preserve">Career Resiliency Strategy:</w:t>
      </w:r>
      <w:r w:rsidDel="00000000" w:rsidR="00000000" w:rsidRPr="00000000">
        <w:rPr>
          <w:rFonts w:ascii="Oswald" w:cs="Oswald" w:eastAsia="Oswald" w:hAnsi="Oswald"/>
          <w:sz w:val="24"/>
          <w:szCs w:val="24"/>
          <w:rtl w:val="0"/>
        </w:rPr>
        <w:t xml:space="preserve"> Top-left quadrant roles (e.g., AI Infrastructure Engineer, Lead Data Scientist) represent prime long-term talent investments—offering high job growth without substantial displacement risk from AI automation.</w:t>
      </w:r>
    </w:p>
    <w:p w:rsidR="00000000" w:rsidDel="00000000" w:rsidP="00000000" w:rsidRDefault="00000000" w:rsidRPr="00000000" w14:paraId="0000002C">
      <w:pPr>
        <w:numPr>
          <w:ilvl w:val="0"/>
          <w:numId w:val="12"/>
        </w:numPr>
        <w:ind w:left="720" w:hanging="360"/>
        <w:rPr>
          <w:sz w:val="24"/>
          <w:szCs w:val="24"/>
        </w:rPr>
      </w:pPr>
      <w:r w:rsidDel="00000000" w:rsidR="00000000" w:rsidRPr="00000000">
        <w:rPr>
          <w:rFonts w:ascii="Oswald" w:cs="Oswald" w:eastAsia="Oswald" w:hAnsi="Oswald"/>
          <w:b w:val="1"/>
          <w:bCs w:val="1"/>
          <w:sz w:val="24"/>
          <w:szCs w:val="24"/>
          <w:rtl w:val="0"/>
        </w:rPr>
        <w:t xml:space="preserve">Automation Sensitivity in AI Roles:</w:t>
      </w:r>
      <w:r w:rsidDel="00000000" w:rsidR="00000000" w:rsidRPr="00000000">
        <w:rPr>
          <w:rFonts w:ascii="Oswald" w:cs="Oswald" w:eastAsia="Oswald" w:hAnsi="Oswald"/>
          <w:sz w:val="24"/>
          <w:szCs w:val="24"/>
          <w:rtl w:val="0"/>
        </w:rPr>
        <w:t xml:space="preserve"> Counterintuitively, highly technical roles like Research Scientist (AI) and MLOps Engineer carry higher automation risk scores (red circles), likely due to the rapid automated code generation and auto-ML capabilities taking over routine research tasks.</w:t>
      </w:r>
    </w:p>
    <w:p w:rsidR="00000000" w:rsidDel="00000000" w:rsidP="00000000" w:rsidRDefault="00000000" w:rsidRPr="00000000" w14:paraId="0000002D">
      <w:pPr>
        <w:numPr>
          <w:ilvl w:val="0"/>
          <w:numId w:val="12"/>
        </w:numPr>
        <w:ind w:left="720" w:hanging="360"/>
        <w:rPr>
          <w:sz w:val="24"/>
          <w:szCs w:val="24"/>
        </w:rPr>
      </w:pPr>
      <w:r w:rsidDel="00000000" w:rsidR="00000000" w:rsidRPr="00000000">
        <w:rPr>
          <w:rFonts w:ascii="Oswald" w:cs="Oswald" w:eastAsia="Oswald" w:hAnsi="Oswald"/>
          <w:b w:val="1"/>
          <w:bCs w:val="1"/>
          <w:sz w:val="24"/>
          <w:szCs w:val="24"/>
          <w:rtl w:val="0"/>
        </w:rPr>
        <w:t xml:space="preserve">Workforce Re-skilling Focus:</w:t>
      </w:r>
      <w:r w:rsidDel="00000000" w:rsidR="00000000" w:rsidRPr="00000000">
        <w:rPr>
          <w:rFonts w:ascii="Oswald" w:cs="Oswald" w:eastAsia="Oswald" w:hAnsi="Oswald"/>
          <w:sz w:val="24"/>
          <w:szCs w:val="24"/>
          <w:rtl w:val="0"/>
        </w:rPr>
        <w:t xml:space="preserve"> Roles in the bottom-right quadrant (e.g., AI Product Manager, Deep Learning Engineer) combine slower relative growth with higher automation risk, signaling a need to upskill these professionals toward infrastructure, systems architecture, or strategic oversight.</w:t>
      </w:r>
      <w:r w:rsidDel="00000000" w:rsidR="00000000" w:rsidRPr="00000000">
        <w:rPr>
          <w:rtl w:val="0"/>
        </w:rPr>
      </w:r>
    </w:p>
    <w:p w:rsidR="00000000" w:rsidDel="00000000" w:rsidP="00000000" w:rsidRDefault="00000000" w:rsidRPr="00000000" w14:paraId="0000002E">
      <w:pPr>
        <w:pStyle w:val="Heading4"/>
        <w:rPr>
          <w:rFonts w:ascii="Oswald" w:cs="Oswald" w:eastAsia="Oswald" w:hAnsi="Oswald"/>
          <w:b w:val="1"/>
          <w:bCs w:val="1"/>
        </w:rPr>
      </w:pPr>
      <w:bookmarkStart w:colFirst="0" w:colLast="0" w:name="_mwl0nkfbxkpm" w:id="13"/>
      <w:bookmarkEnd w:id="13"/>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2F">
      <w:pPr>
        <w:numPr>
          <w:ilvl w:val="0"/>
          <w:numId w:val="16"/>
        </w:numPr>
        <w:ind w:left="720" w:hanging="360"/>
        <w:rPr>
          <w:sz w:val="24"/>
          <w:szCs w:val="24"/>
        </w:rPr>
      </w:pPr>
      <w:r w:rsidDel="00000000" w:rsidR="00000000" w:rsidRPr="00000000">
        <w:rPr>
          <w:rFonts w:ascii="Oswald" w:cs="Oswald" w:eastAsia="Oswald" w:hAnsi="Oswald"/>
          <w:b w:val="1"/>
          <w:bCs w:val="1"/>
          <w:sz w:val="24"/>
          <w:szCs w:val="24"/>
          <w:rtl w:val="0"/>
        </w:rPr>
        <w:t xml:space="preserve">Connecting the Talent Lifecycle:</w:t>
      </w:r>
      <w:r w:rsidDel="00000000" w:rsidR="00000000" w:rsidRPr="00000000">
        <w:rPr>
          <w:rFonts w:ascii="Oswald" w:cs="Oswald" w:eastAsia="Oswald" w:hAnsi="Oswald"/>
          <w:sz w:val="24"/>
          <w:szCs w:val="24"/>
          <w:rtl w:val="0"/>
        </w:rPr>
        <w:t xml:space="preserve"> These three visuals outline the operational realities of building an AI team: where candidate friction occurs (Scatter Plot), what technical capabilities to screen for (Heatmap), and which roles represent sustainable long-term investments (Bubble Chart).</w:t>
      </w:r>
    </w:p>
    <w:p w:rsidR="00000000" w:rsidDel="00000000" w:rsidP="00000000" w:rsidRDefault="00000000" w:rsidRPr="00000000" w14:paraId="00000030">
      <w:pPr>
        <w:numPr>
          <w:ilvl w:val="0"/>
          <w:numId w:val="16"/>
        </w:numPr>
        <w:ind w:left="720" w:hanging="360"/>
        <w:rPr>
          <w:sz w:val="24"/>
          <w:szCs w:val="24"/>
        </w:rPr>
      </w:pPr>
      <w:r w:rsidDel="00000000" w:rsidR="00000000" w:rsidRPr="00000000">
        <w:rPr>
          <w:rFonts w:ascii="Oswald" w:cs="Oswald" w:eastAsia="Oswald" w:hAnsi="Oswald"/>
          <w:b w:val="1"/>
          <w:bCs w:val="1"/>
          <w:sz w:val="24"/>
          <w:szCs w:val="24"/>
          <w:rtl w:val="0"/>
        </w:rPr>
        <w:t xml:space="preserve">Re-skilling and Upskilling Focus:</w:t>
      </w:r>
      <w:r w:rsidDel="00000000" w:rsidR="00000000" w:rsidRPr="00000000">
        <w:rPr>
          <w:rFonts w:ascii="Oswald" w:cs="Oswald" w:eastAsia="Oswald" w:hAnsi="Oswald"/>
          <w:sz w:val="24"/>
          <w:szCs w:val="24"/>
          <w:rtl w:val="0"/>
        </w:rPr>
        <w:t xml:space="preserve"> Instead of fighting extreme competition in bottleneck quadrants, sponsor internal talent through structured ML certification programs (e.g., DeepLearning.ai or Google ML) to build qualified pipelines from within.</w:t>
      </w:r>
    </w:p>
    <w:p w:rsidR="00000000" w:rsidDel="00000000" w:rsidP="00000000" w:rsidRDefault="00000000" w:rsidRPr="00000000" w14:paraId="00000031">
      <w:pPr>
        <w:numPr>
          <w:ilvl w:val="0"/>
          <w:numId w:val="16"/>
        </w:numPr>
        <w:ind w:left="720" w:hanging="360"/>
        <w:rPr>
          <w:sz w:val="24"/>
          <w:szCs w:val="24"/>
        </w:rPr>
      </w:pPr>
      <w:r w:rsidDel="00000000" w:rsidR="00000000" w:rsidRPr="00000000">
        <w:rPr>
          <w:rFonts w:ascii="Oswald" w:cs="Oswald" w:eastAsia="Oswald" w:hAnsi="Oswald"/>
          <w:b w:val="1"/>
          <w:bCs w:val="1"/>
          <w:sz w:val="24"/>
          <w:szCs w:val="24"/>
          <w:rtl w:val="0"/>
        </w:rPr>
        <w:t xml:space="preserve">Risk Mitigation in Headcount Planning:</w:t>
      </w:r>
      <w:r w:rsidDel="00000000" w:rsidR="00000000" w:rsidRPr="00000000">
        <w:rPr>
          <w:rFonts w:ascii="Oswald" w:cs="Oswald" w:eastAsia="Oswald" w:hAnsi="Oswald"/>
          <w:sz w:val="24"/>
          <w:szCs w:val="24"/>
          <w:rtl w:val="0"/>
        </w:rPr>
        <w:t xml:space="preserve"> As automated code generation advances, pure AI research and routine product management tasks face higher automation exposure. Allocate long-term headcount budget toward foundational systems architecture and infrastructure roles that carry high growth with lower automation risk.</w:t>
      </w:r>
      <w:r w:rsidDel="00000000" w:rsidR="00000000" w:rsidRPr="00000000">
        <w:rPr>
          <w:rtl w:val="0"/>
        </w:rPr>
      </w:r>
    </w:p>
    <w:p w:rsidR="00000000" w:rsidDel="00000000" w:rsidP="00000000" w:rsidRDefault="00000000" w:rsidRPr="00000000" w14:paraId="00000032">
      <w:pPr>
        <w:pStyle w:val="Heading3"/>
        <w:rPr>
          <w:rFonts w:ascii="Oswald" w:cs="Oswald" w:eastAsia="Oswald" w:hAnsi="Oswald"/>
          <w:b w:val="1"/>
          <w:bCs w:val="1"/>
        </w:rPr>
      </w:pPr>
      <w:bookmarkStart w:colFirst="0" w:colLast="0" w:name="_t2oetfhkfljb" w:id="14"/>
      <w:bookmarkEnd w:id="14"/>
      <w:r w:rsidDel="00000000" w:rsidR="00000000" w:rsidRPr="00000000">
        <w:rPr>
          <w:rFonts w:ascii="Oswald" w:cs="Oswald" w:eastAsia="Oswald" w:hAnsi="Oswald"/>
          <w:b w:val="1"/>
          <w:bCs w:val="1"/>
          <w:rtl w:val="0"/>
        </w:rPr>
        <w:t xml:space="preserve">Remote Work &amp; Workplace Culture </w:t>
      </w:r>
    </w:p>
    <w:p w:rsidR="00000000" w:rsidDel="00000000" w:rsidP="00000000" w:rsidRDefault="00000000" w:rsidRPr="00000000" w14:paraId="00000033">
      <w:pPr>
        <w:pStyle w:val="Heading4"/>
        <w:rPr>
          <w:rFonts w:ascii="Oswald" w:cs="Oswald" w:eastAsia="Oswald" w:hAnsi="Oswald"/>
          <w:b w:val="1"/>
          <w:bCs w:val="1"/>
        </w:rPr>
      </w:pPr>
      <w:bookmarkStart w:colFirst="0" w:colLast="0" w:name="_9imjo29um0i4" w:id="15"/>
      <w:bookmarkEnd w:id="15"/>
      <w:r w:rsidDel="00000000" w:rsidR="00000000" w:rsidRPr="00000000">
        <w:rPr>
          <w:rFonts w:ascii="Oswald" w:cs="Oswald" w:eastAsia="Oswald" w:hAnsi="Oswald"/>
          <w:b w:val="1"/>
          <w:bCs w:val="1"/>
          <w:rtl w:val="0"/>
        </w:rPr>
        <w:t xml:space="preserve">9. Work-Life Balance vs. Job Satisfaction Quad-Analysis </w:t>
      </w:r>
    </w:p>
    <w:p w:rsidR="00000000" w:rsidDel="00000000" w:rsidP="00000000" w:rsidRDefault="00000000" w:rsidRPr="00000000" w14:paraId="00000034">
      <w:pPr>
        <w:numPr>
          <w:ilvl w:val="0"/>
          <w:numId w:val="2"/>
        </w:numPr>
        <w:ind w:left="720" w:hanging="360"/>
        <w:rPr>
          <w:sz w:val="24"/>
          <w:szCs w:val="24"/>
        </w:rPr>
      </w:pPr>
      <w:r w:rsidDel="00000000" w:rsidR="00000000" w:rsidRPr="00000000">
        <w:rPr>
          <w:rFonts w:ascii="Oswald" w:cs="Oswald" w:eastAsia="Oswald" w:hAnsi="Oswald"/>
          <w:b w:val="1"/>
          <w:bCs w:val="1"/>
          <w:sz w:val="24"/>
          <w:szCs w:val="24"/>
          <w:rtl w:val="0"/>
        </w:rPr>
        <w:t xml:space="preserve">Remote Flexibility Drives Satisfaction:</w:t>
      </w:r>
      <w:r w:rsidDel="00000000" w:rsidR="00000000" w:rsidRPr="00000000">
        <w:rPr>
          <w:rFonts w:ascii="Oswald" w:cs="Oswald" w:eastAsia="Oswald" w:hAnsi="Oswald"/>
          <w:sz w:val="24"/>
          <w:szCs w:val="24"/>
          <w:rtl w:val="0"/>
        </w:rPr>
        <w:t xml:space="preserve"> The strong clustering of larger orange bubbles in the upper quadrants confirms that offering WFH options directly improves employee sentiment and remote work flexibility in AI roles.</w:t>
      </w:r>
    </w:p>
    <w:p w:rsidR="00000000" w:rsidDel="00000000" w:rsidP="00000000" w:rsidRDefault="00000000" w:rsidRPr="00000000" w14:paraId="00000035">
      <w:pPr>
        <w:numPr>
          <w:ilvl w:val="0"/>
          <w:numId w:val="2"/>
        </w:numPr>
        <w:ind w:left="720" w:hanging="360"/>
        <w:rPr>
          <w:sz w:val="24"/>
          <w:szCs w:val="24"/>
        </w:rPr>
      </w:pPr>
      <w:r w:rsidDel="00000000" w:rsidR="00000000" w:rsidRPr="00000000">
        <w:rPr>
          <w:rFonts w:ascii="Oswald" w:cs="Oswald" w:eastAsia="Oswald" w:hAnsi="Oswald"/>
          <w:b w:val="1"/>
          <w:bCs w:val="1"/>
          <w:sz w:val="24"/>
          <w:szCs w:val="24"/>
          <w:rtl w:val="0"/>
        </w:rPr>
        <w:t xml:space="preserve">Retention and Burnout Risk Identification:</w:t>
      </w:r>
      <w:r w:rsidDel="00000000" w:rsidR="00000000" w:rsidRPr="00000000">
        <w:rPr>
          <w:rFonts w:ascii="Oswald" w:cs="Oswald" w:eastAsia="Oswald" w:hAnsi="Oswald"/>
          <w:sz w:val="24"/>
          <w:szCs w:val="24"/>
          <w:rtl w:val="0"/>
        </w:rPr>
        <w:t xml:space="preserve"> Roles sitting in the bottom-left quadrant require immediate attention regarding workload balancing and remote flexibility to reduce attrition risks.</w:t>
      </w:r>
    </w:p>
    <w:p w:rsidR="00000000" w:rsidDel="00000000" w:rsidP="00000000" w:rsidRDefault="00000000" w:rsidRPr="00000000" w14:paraId="00000036">
      <w:pPr>
        <w:numPr>
          <w:ilvl w:val="0"/>
          <w:numId w:val="2"/>
        </w:numPr>
        <w:ind w:left="720" w:hanging="360"/>
        <w:rPr>
          <w:sz w:val="24"/>
          <w:szCs w:val="24"/>
        </w:rPr>
      </w:pPr>
      <w:r w:rsidDel="00000000" w:rsidR="00000000" w:rsidRPr="00000000">
        <w:rPr>
          <w:rFonts w:ascii="Oswald" w:cs="Oswald" w:eastAsia="Oswald" w:hAnsi="Oswald"/>
          <w:b w:val="1"/>
          <w:bCs w:val="1"/>
          <w:sz w:val="24"/>
          <w:szCs w:val="24"/>
          <w:rtl w:val="0"/>
        </w:rPr>
        <w:t xml:space="preserve">Strategic Talent Value Proposition:</w:t>
      </w:r>
      <w:r w:rsidDel="00000000" w:rsidR="00000000" w:rsidRPr="00000000">
        <w:rPr>
          <w:rFonts w:ascii="Oswald" w:cs="Oswald" w:eastAsia="Oswald" w:hAnsi="Oswald"/>
          <w:sz w:val="24"/>
          <w:szCs w:val="24"/>
          <w:rtl w:val="0"/>
        </w:rPr>
        <w:t xml:space="preserve"> While high job satisfaction can occur in demanding roles (top-left quadrant), long-term retention relies on moving positions toward the top-right quadrant by introducing flexible hybrid/remote policies.</w:t>
      </w:r>
      <w:r w:rsidDel="00000000" w:rsidR="00000000" w:rsidRPr="00000000">
        <w:rPr>
          <w:rtl w:val="0"/>
        </w:rPr>
      </w:r>
    </w:p>
    <w:p w:rsidR="00000000" w:rsidDel="00000000" w:rsidP="00000000" w:rsidRDefault="00000000" w:rsidRPr="00000000" w14:paraId="00000037">
      <w:pPr>
        <w:pStyle w:val="Heading4"/>
        <w:rPr>
          <w:rFonts w:ascii="Oswald" w:cs="Oswald" w:eastAsia="Oswald" w:hAnsi="Oswald"/>
          <w:b w:val="1"/>
          <w:bCs w:val="1"/>
        </w:rPr>
      </w:pPr>
      <w:bookmarkStart w:colFirst="0" w:colLast="0" w:name="_chttd6pfedmg" w:id="16"/>
      <w:bookmarkEnd w:id="16"/>
      <w:r w:rsidDel="00000000" w:rsidR="00000000" w:rsidRPr="00000000">
        <w:rPr>
          <w:rFonts w:ascii="Oswald" w:cs="Oswald" w:eastAsia="Oswald" w:hAnsi="Oswald"/>
          <w:b w:val="1"/>
          <w:bCs w:val="1"/>
          <w:rtl w:val="0"/>
        </w:rPr>
        <w:t xml:space="preserve">10. Remote Work Flexibility by Industry &amp; Company Size (Side-by-Side Bar Chart) </w:t>
      </w:r>
    </w:p>
    <w:p w:rsidR="00000000" w:rsidDel="00000000" w:rsidP="00000000" w:rsidRDefault="00000000" w:rsidRPr="00000000" w14:paraId="00000038">
      <w:pPr>
        <w:numPr>
          <w:ilvl w:val="0"/>
          <w:numId w:val="5"/>
        </w:numPr>
        <w:ind w:left="720" w:hanging="360"/>
        <w:rPr>
          <w:sz w:val="24"/>
          <w:szCs w:val="24"/>
        </w:rPr>
      </w:pPr>
      <w:r w:rsidDel="00000000" w:rsidR="00000000" w:rsidRPr="00000000">
        <w:rPr>
          <w:rFonts w:ascii="Oswald" w:cs="Oswald" w:eastAsia="Oswald" w:hAnsi="Oswald"/>
          <w:b w:val="1"/>
          <w:bCs w:val="1"/>
          <w:sz w:val="24"/>
          <w:szCs w:val="24"/>
          <w:rtl w:val="0"/>
        </w:rPr>
        <w:t xml:space="preserve">Startup Agility vs. Enterprise Scale:</w:t>
      </w:r>
      <w:r w:rsidDel="00000000" w:rsidR="00000000" w:rsidRPr="00000000">
        <w:rPr>
          <w:rFonts w:ascii="Oswald" w:cs="Oswald" w:eastAsia="Oswald" w:hAnsi="Oswald"/>
          <w:sz w:val="24"/>
          <w:szCs w:val="24"/>
          <w:rtl w:val="0"/>
        </w:rPr>
        <w:t xml:space="preserve"> Small organizations consistently leverage higher remote work flexibility (70%+) in competitive technical sectors like R&amp;D, Logistics, and Finance as a key talent attraction mechanism.</w:t>
      </w:r>
    </w:p>
    <w:p w:rsidR="00000000" w:rsidDel="00000000" w:rsidP="00000000" w:rsidRDefault="00000000" w:rsidRPr="00000000" w14:paraId="00000039">
      <w:pPr>
        <w:numPr>
          <w:ilvl w:val="0"/>
          <w:numId w:val="5"/>
        </w:numPr>
        <w:ind w:left="720" w:hanging="360"/>
        <w:rPr>
          <w:sz w:val="24"/>
          <w:szCs w:val="24"/>
        </w:rPr>
      </w:pPr>
      <w:r w:rsidDel="00000000" w:rsidR="00000000" w:rsidRPr="00000000">
        <w:rPr>
          <w:rFonts w:ascii="Oswald" w:cs="Oswald" w:eastAsia="Oswald" w:hAnsi="Oswald"/>
          <w:b w:val="1"/>
          <w:bCs w:val="1"/>
          <w:sz w:val="24"/>
          <w:szCs w:val="24"/>
          <w:rtl w:val="0"/>
        </w:rPr>
        <w:t xml:space="preserve">Enterprise Infrastructure Advantage:</w:t>
      </w:r>
      <w:r w:rsidDel="00000000" w:rsidR="00000000" w:rsidRPr="00000000">
        <w:rPr>
          <w:rFonts w:ascii="Oswald" w:cs="Oswald" w:eastAsia="Oswald" w:hAnsi="Oswald"/>
          <w:sz w:val="24"/>
          <w:szCs w:val="24"/>
          <w:rtl w:val="0"/>
        </w:rPr>
        <w:t xml:space="preserve"> Larger enterprise organizations demonstrate stronger remote adoption in heavily regulated or operational sectors like Healthcare and Banking (~66%), reflecting superior security infrastructure and mature hybrid policies.</w:t>
      </w:r>
    </w:p>
    <w:p w:rsidR="00000000" w:rsidDel="00000000" w:rsidP="00000000" w:rsidRDefault="00000000" w:rsidRPr="00000000" w14:paraId="0000003A">
      <w:pPr>
        <w:numPr>
          <w:ilvl w:val="0"/>
          <w:numId w:val="5"/>
        </w:numPr>
        <w:ind w:left="720" w:hanging="360"/>
        <w:rPr>
          <w:sz w:val="24"/>
          <w:szCs w:val="24"/>
        </w:rPr>
      </w:pPr>
      <w:r w:rsidDel="00000000" w:rsidR="00000000" w:rsidRPr="00000000">
        <w:rPr>
          <w:rFonts w:ascii="Oswald" w:cs="Oswald" w:eastAsia="Oswald" w:hAnsi="Oswald"/>
          <w:b w:val="1"/>
          <w:bCs w:val="1"/>
          <w:sz w:val="24"/>
          <w:szCs w:val="24"/>
          <w:rtl w:val="0"/>
        </w:rPr>
        <w:t xml:space="preserve">Benchmarking Policy by Sector:</w:t>
      </w:r>
      <w:r w:rsidDel="00000000" w:rsidR="00000000" w:rsidRPr="00000000">
        <w:rPr>
          <w:rFonts w:ascii="Oswald" w:cs="Oswald" w:eastAsia="Oswald" w:hAnsi="Oswald"/>
          <w:sz w:val="24"/>
          <w:szCs w:val="24"/>
          <w:rtl w:val="0"/>
        </w:rPr>
        <w:t xml:space="preserve"> Remote work policy design should be tailored by both headcount scale and industry norms; assuming startups are universally more remote or enterprises are rigid is disproven by sector-specific outliers like Retail.</w:t>
      </w:r>
      <w:r w:rsidDel="00000000" w:rsidR="00000000" w:rsidRPr="00000000">
        <w:rPr>
          <w:rtl w:val="0"/>
        </w:rPr>
      </w:r>
    </w:p>
    <w:p w:rsidR="00000000" w:rsidDel="00000000" w:rsidP="00000000" w:rsidRDefault="00000000" w:rsidRPr="00000000" w14:paraId="0000003B">
      <w:pPr>
        <w:pStyle w:val="Heading4"/>
        <w:rPr>
          <w:rFonts w:ascii="Oswald" w:cs="Oswald" w:eastAsia="Oswald" w:hAnsi="Oswald"/>
          <w:b w:val="1"/>
          <w:bCs w:val="1"/>
        </w:rPr>
      </w:pPr>
      <w:bookmarkStart w:colFirst="0" w:colLast="0" w:name="_vxc4vdu0ynwu" w:id="17"/>
      <w:bookmarkEnd w:id="17"/>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3C">
      <w:pPr>
        <w:numPr>
          <w:ilvl w:val="0"/>
          <w:numId w:val="9"/>
        </w:numPr>
        <w:ind w:left="720" w:hanging="360"/>
        <w:rPr>
          <w:sz w:val="24"/>
          <w:szCs w:val="24"/>
        </w:rPr>
      </w:pPr>
      <w:r w:rsidDel="00000000" w:rsidR="00000000" w:rsidRPr="00000000">
        <w:rPr>
          <w:rFonts w:ascii="Oswald" w:cs="Oswald" w:eastAsia="Oswald" w:hAnsi="Oswald"/>
          <w:b w:val="1"/>
          <w:bCs w:val="1"/>
          <w:sz w:val="24"/>
          <w:szCs w:val="24"/>
          <w:rtl w:val="0"/>
        </w:rPr>
        <w:t xml:space="preserve">Connecting Remote Policy to Workforce Morale:</w:t>
      </w:r>
      <w:r w:rsidDel="00000000" w:rsidR="00000000" w:rsidRPr="00000000">
        <w:rPr>
          <w:rFonts w:ascii="Oswald" w:cs="Oswald" w:eastAsia="Oswald" w:hAnsi="Oswald"/>
          <w:sz w:val="24"/>
          <w:szCs w:val="24"/>
          <w:rtl w:val="0"/>
        </w:rPr>
        <w:t xml:space="preserve"> Combining employee satisfaction data with company size benchmarks demonstrates that flexible remote policies are no longer just an operational detail—they are a critical factor in job satisfaction and employee retention.</w:t>
      </w:r>
    </w:p>
    <w:p w:rsidR="00000000" w:rsidDel="00000000" w:rsidP="00000000" w:rsidRDefault="00000000" w:rsidRPr="00000000" w14:paraId="0000003D">
      <w:pPr>
        <w:numPr>
          <w:ilvl w:val="0"/>
          <w:numId w:val="9"/>
        </w:numPr>
        <w:ind w:left="720" w:hanging="360"/>
        <w:rPr>
          <w:sz w:val="24"/>
          <w:szCs w:val="24"/>
        </w:rPr>
      </w:pPr>
      <w:r w:rsidDel="00000000" w:rsidR="00000000" w:rsidRPr="00000000">
        <w:rPr>
          <w:rFonts w:ascii="Oswald" w:cs="Oswald" w:eastAsia="Oswald" w:hAnsi="Oswald"/>
          <w:b w:val="1"/>
          <w:bCs w:val="1"/>
          <w:sz w:val="24"/>
          <w:szCs w:val="24"/>
          <w:rtl w:val="0"/>
        </w:rPr>
        <w:t xml:space="preserve">Competitive Positioning for Hiring:</w:t>
      </w:r>
      <w:r w:rsidDel="00000000" w:rsidR="00000000" w:rsidRPr="00000000">
        <w:rPr>
          <w:rFonts w:ascii="Oswald" w:cs="Oswald" w:eastAsia="Oswald" w:hAnsi="Oswald"/>
          <w:sz w:val="24"/>
          <w:szCs w:val="24"/>
          <w:rtl w:val="0"/>
        </w:rPr>
        <w:t xml:space="preserve"> Small startups use high remote work options (~70%–76%) to compete against enterprise pay bands in sectors like R&amp;D and Finance. Conversely, enterprises should highlight their strong remote flexibility in sectors like Healthcare and Banking to retain talent.</w:t>
      </w:r>
    </w:p>
    <w:p w:rsidR="00000000" w:rsidDel="00000000" w:rsidP="00000000" w:rsidRDefault="00000000" w:rsidRPr="00000000" w14:paraId="0000003E">
      <w:pPr>
        <w:numPr>
          <w:ilvl w:val="0"/>
          <w:numId w:val="9"/>
        </w:numPr>
        <w:ind w:left="720" w:hanging="360"/>
        <w:rPr>
          <w:sz w:val="24"/>
          <w:szCs w:val="24"/>
        </w:rPr>
      </w:pPr>
      <w:r w:rsidDel="00000000" w:rsidR="00000000" w:rsidRPr="00000000">
        <w:rPr>
          <w:rFonts w:ascii="Oswald" w:cs="Oswald" w:eastAsia="Oswald" w:hAnsi="Oswald"/>
          <w:b w:val="1"/>
          <w:bCs w:val="1"/>
          <w:sz w:val="24"/>
          <w:szCs w:val="24"/>
          <w:rtl w:val="0"/>
        </w:rPr>
        <w:t xml:space="preserve">Leadership Action Item:</w:t>
      </w:r>
      <w:r w:rsidDel="00000000" w:rsidR="00000000" w:rsidRPr="00000000">
        <w:rPr>
          <w:rFonts w:ascii="Oswald" w:cs="Oswald" w:eastAsia="Oswald" w:hAnsi="Oswald"/>
          <w:sz w:val="24"/>
          <w:szCs w:val="24"/>
          <w:rtl w:val="0"/>
        </w:rPr>
        <w:t xml:space="preserve"> Focus on roles in the low work-life balance/satisfaction quadrant. Transitioning rigid, non-WFH roles toward structured remote/hybrid models provides an immediate path to improve morale and reduce turnover.</w:t>
      </w:r>
      <w:r w:rsidDel="00000000" w:rsidR="00000000" w:rsidRPr="00000000">
        <w:rPr>
          <w:rtl w:val="0"/>
        </w:rPr>
      </w:r>
    </w:p>
    <w:p w:rsidR="00000000" w:rsidDel="00000000" w:rsidP="00000000" w:rsidRDefault="00000000" w:rsidRPr="00000000" w14:paraId="0000003F">
      <w:pPr>
        <w:pStyle w:val="Heading3"/>
        <w:rPr>
          <w:rFonts w:ascii="Oswald" w:cs="Oswald" w:eastAsia="Oswald" w:hAnsi="Oswald"/>
          <w:b w:val="1"/>
          <w:bCs w:val="1"/>
        </w:rPr>
      </w:pPr>
      <w:bookmarkStart w:colFirst="0" w:colLast="0" w:name="_8szaxx6wbgqd" w:id="18"/>
      <w:bookmarkEnd w:id="18"/>
      <w:r w:rsidDel="00000000" w:rsidR="00000000" w:rsidRPr="00000000">
        <w:rPr>
          <w:rFonts w:ascii="Oswald" w:cs="Oswald" w:eastAsia="Oswald" w:hAnsi="Oswald"/>
          <w:b w:val="1"/>
          <w:bCs w:val="1"/>
          <w:rtl w:val="0"/>
        </w:rPr>
        <w:t xml:space="preserve">Diversity, Inclusion &amp; Demographics </w:t>
      </w:r>
    </w:p>
    <w:p w:rsidR="00000000" w:rsidDel="00000000" w:rsidP="00000000" w:rsidRDefault="00000000" w:rsidRPr="00000000" w14:paraId="00000040">
      <w:pPr>
        <w:pStyle w:val="Heading4"/>
        <w:rPr>
          <w:rFonts w:ascii="Oswald" w:cs="Oswald" w:eastAsia="Oswald" w:hAnsi="Oswald"/>
          <w:b w:val="1"/>
          <w:bCs w:val="1"/>
        </w:rPr>
      </w:pPr>
      <w:bookmarkStart w:colFirst="0" w:colLast="0" w:name="_73x2rhq0eprj" w:id="19"/>
      <w:bookmarkEnd w:id="19"/>
      <w:r w:rsidDel="00000000" w:rsidR="00000000" w:rsidRPr="00000000">
        <w:rPr>
          <w:rFonts w:ascii="Oswald" w:cs="Oswald" w:eastAsia="Oswald" w:hAnsi="Oswald"/>
          <w:b w:val="1"/>
          <w:bCs w:val="1"/>
          <w:rtl w:val="0"/>
        </w:rPr>
        <w:t xml:space="preserve">11. Gender Diversity Index across AI Specializations (Diverging Bar Chart) </w:t>
      </w:r>
    </w:p>
    <w:p w:rsidR="00000000" w:rsidDel="00000000" w:rsidP="00000000" w:rsidRDefault="00000000" w:rsidRPr="00000000" w14:paraId="00000041">
      <w:pPr>
        <w:numPr>
          <w:ilvl w:val="0"/>
          <w:numId w:val="8"/>
        </w:numPr>
        <w:ind w:left="720" w:hanging="360"/>
        <w:rPr>
          <w:sz w:val="24"/>
          <w:szCs w:val="24"/>
        </w:rPr>
      </w:pPr>
      <w:r w:rsidDel="00000000" w:rsidR="00000000" w:rsidRPr="00000000">
        <w:rPr>
          <w:rFonts w:ascii="Oswald" w:cs="Oswald" w:eastAsia="Oswald" w:hAnsi="Oswald"/>
          <w:b w:val="1"/>
          <w:bCs w:val="1"/>
          <w:sz w:val="24"/>
          <w:szCs w:val="24"/>
          <w:rtl w:val="0"/>
        </w:rPr>
        <w:t xml:space="preserve">Systemic Gender Parity Gap:</w:t>
      </w:r>
      <w:r w:rsidDel="00000000" w:rsidR="00000000" w:rsidRPr="00000000">
        <w:rPr>
          <w:rFonts w:ascii="Oswald" w:cs="Oswald" w:eastAsia="Oswald" w:hAnsi="Oswald"/>
          <w:sz w:val="24"/>
          <w:szCs w:val="24"/>
          <w:rtl w:val="0"/>
        </w:rPr>
        <w:t xml:space="preserve"> Female representation in the global AI workforce remains stagnant at around </w:t>
      </w:r>
      <w:r w:rsidDel="00000000" w:rsidR="00000000" w:rsidRPr="00000000">
        <w:rPr>
          <w:rFonts w:ascii="Oswald" w:cs="Oswald" w:eastAsia="Oswald" w:hAnsi="Oswald"/>
          <w:b w:val="1"/>
          <w:bCs w:val="1"/>
          <w:sz w:val="24"/>
          <w:szCs w:val="24"/>
          <w:rtl w:val="0"/>
        </w:rPr>
        <w:t xml:space="preserve">~30%</w:t>
      </w:r>
      <w:r w:rsidDel="00000000" w:rsidR="00000000" w:rsidRPr="00000000">
        <w:rPr>
          <w:rFonts w:ascii="Oswald" w:cs="Oswald" w:eastAsia="Oswald" w:hAnsi="Oswald"/>
          <w:sz w:val="24"/>
          <w:szCs w:val="24"/>
          <w:rtl w:val="0"/>
        </w:rPr>
        <w:t xml:space="preserve"> across technical domains, pointing to structural diversity challenges industry-wide.</w:t>
      </w:r>
    </w:p>
    <w:p w:rsidR="00000000" w:rsidDel="00000000" w:rsidP="00000000" w:rsidRDefault="00000000" w:rsidRPr="00000000" w14:paraId="00000042">
      <w:pPr>
        <w:numPr>
          <w:ilvl w:val="0"/>
          <w:numId w:val="8"/>
        </w:numPr>
        <w:ind w:left="720" w:hanging="360"/>
        <w:rPr>
          <w:sz w:val="24"/>
          <w:szCs w:val="24"/>
        </w:rPr>
      </w:pPr>
      <w:r w:rsidDel="00000000" w:rsidR="00000000" w:rsidRPr="00000000">
        <w:rPr>
          <w:rFonts w:ascii="Oswald" w:cs="Oswald" w:eastAsia="Oswald" w:hAnsi="Oswald"/>
          <w:b w:val="1"/>
          <w:bCs w:val="1"/>
          <w:sz w:val="24"/>
          <w:szCs w:val="24"/>
          <w:rtl w:val="0"/>
        </w:rPr>
        <w:t xml:space="preserve">Executive Level Drop-off:</w:t>
      </w:r>
      <w:r w:rsidDel="00000000" w:rsidR="00000000" w:rsidRPr="00000000">
        <w:rPr>
          <w:rFonts w:ascii="Oswald" w:cs="Oswald" w:eastAsia="Oswald" w:hAnsi="Oswald"/>
          <w:sz w:val="24"/>
          <w:szCs w:val="24"/>
          <w:rtl w:val="0"/>
        </w:rPr>
        <w:t xml:space="preserve"> The consistent drop in female representation at the Executive level across key domains like Machine Learning, Generative AI, and NLP underscores career progression barriers (the "glass ceiling" / "leaky pipeline") preventing mid/lead-tier talent from advancing into senior leadership.</w:t>
      </w:r>
    </w:p>
    <w:p w:rsidR="00000000" w:rsidDel="00000000" w:rsidP="00000000" w:rsidRDefault="00000000" w:rsidRPr="00000000" w14:paraId="00000043">
      <w:pPr>
        <w:numPr>
          <w:ilvl w:val="0"/>
          <w:numId w:val="8"/>
        </w:numPr>
        <w:ind w:left="720" w:hanging="360"/>
        <w:rPr>
          <w:sz w:val="24"/>
          <w:szCs w:val="24"/>
        </w:rPr>
      </w:pPr>
      <w:r w:rsidDel="00000000" w:rsidR="00000000" w:rsidRPr="00000000">
        <w:rPr>
          <w:rFonts w:ascii="Oswald" w:cs="Oswald" w:eastAsia="Oswald" w:hAnsi="Oswald"/>
          <w:b w:val="1"/>
          <w:bCs w:val="1"/>
          <w:sz w:val="24"/>
          <w:szCs w:val="24"/>
          <w:rtl w:val="0"/>
        </w:rPr>
        <w:t xml:space="preserve">Targeted Inclusion Initiatives:</w:t>
      </w:r>
      <w:r w:rsidDel="00000000" w:rsidR="00000000" w:rsidRPr="00000000">
        <w:rPr>
          <w:rFonts w:ascii="Oswald" w:cs="Oswald" w:eastAsia="Oswald" w:hAnsi="Oswald"/>
          <w:sz w:val="24"/>
          <w:szCs w:val="24"/>
          <w:rtl w:val="0"/>
        </w:rPr>
        <w:t xml:space="preserve"> Diversity strategies should focus on leadership development programs to retain and advance mid-level and lead female professionals into C-suite and executive roles, while examining Robotics for best practices given its strong executive tier metrics.</w:t>
      </w:r>
      <w:r w:rsidDel="00000000" w:rsidR="00000000" w:rsidRPr="00000000">
        <w:rPr>
          <w:rtl w:val="0"/>
        </w:rPr>
      </w:r>
    </w:p>
    <w:p w:rsidR="00000000" w:rsidDel="00000000" w:rsidP="00000000" w:rsidRDefault="00000000" w:rsidRPr="00000000" w14:paraId="00000044">
      <w:pPr>
        <w:pStyle w:val="Heading4"/>
        <w:rPr>
          <w:rFonts w:ascii="Oswald" w:cs="Oswald" w:eastAsia="Oswald" w:hAnsi="Oswald"/>
          <w:b w:val="1"/>
          <w:bCs w:val="1"/>
        </w:rPr>
      </w:pPr>
      <w:bookmarkStart w:colFirst="0" w:colLast="0" w:name="_8323f3s0p3xi" w:id="20"/>
      <w:bookmarkEnd w:id="20"/>
      <w:r w:rsidDel="00000000" w:rsidR="00000000" w:rsidRPr="00000000">
        <w:rPr>
          <w:rFonts w:ascii="Oswald" w:cs="Oswald" w:eastAsia="Oswald" w:hAnsi="Oswald"/>
          <w:b w:val="1"/>
          <w:bCs w:val="1"/>
          <w:rtl w:val="0"/>
        </w:rPr>
        <w:t xml:space="preserve">12. Diversity vs. Company Maturity &amp; Investment (Scatter Plot) </w:t>
      </w:r>
    </w:p>
    <w:p w:rsidR="00000000" w:rsidDel="00000000" w:rsidP="00000000" w:rsidRDefault="00000000" w:rsidRPr="00000000" w14:paraId="00000045">
      <w:pPr>
        <w:numPr>
          <w:ilvl w:val="0"/>
          <w:numId w:val="19"/>
        </w:numPr>
        <w:ind w:left="720" w:hanging="360"/>
        <w:rPr>
          <w:sz w:val="24"/>
          <w:szCs w:val="24"/>
        </w:rPr>
      </w:pPr>
      <w:r w:rsidDel="00000000" w:rsidR="00000000" w:rsidRPr="00000000">
        <w:rPr>
          <w:rFonts w:ascii="Oswald" w:cs="Oswald" w:eastAsia="Oswald" w:hAnsi="Oswald"/>
          <w:b w:val="1"/>
          <w:bCs w:val="1"/>
          <w:sz w:val="24"/>
          <w:szCs w:val="24"/>
          <w:rtl w:val="0"/>
        </w:rPr>
        <w:t xml:space="preserve">Capital Does Not Guarantee Parity:</w:t>
      </w:r>
      <w:r w:rsidDel="00000000" w:rsidR="00000000" w:rsidRPr="00000000">
        <w:rPr>
          <w:rFonts w:ascii="Oswald" w:cs="Oswald" w:eastAsia="Oswald" w:hAnsi="Oswald"/>
          <w:sz w:val="24"/>
          <w:szCs w:val="24"/>
          <w:rtl w:val="0"/>
        </w:rPr>
        <w:t xml:space="preserve"> Simply increasing capital investment or scaling technical AI capabilities does not automatically solve workforce gender imbalances.</w:t>
      </w:r>
    </w:p>
    <w:p w:rsidR="00000000" w:rsidDel="00000000" w:rsidP="00000000" w:rsidRDefault="00000000" w:rsidRPr="00000000" w14:paraId="00000046">
      <w:pPr>
        <w:numPr>
          <w:ilvl w:val="0"/>
          <w:numId w:val="19"/>
        </w:numPr>
        <w:ind w:left="720" w:hanging="360"/>
        <w:rPr>
          <w:sz w:val="24"/>
          <w:szCs w:val="24"/>
        </w:rPr>
      </w:pPr>
      <w:r w:rsidDel="00000000" w:rsidR="00000000" w:rsidRPr="00000000">
        <w:rPr>
          <w:rFonts w:ascii="Oswald" w:cs="Oswald" w:eastAsia="Oswald" w:hAnsi="Oswald"/>
          <w:b w:val="1"/>
          <w:bCs w:val="1"/>
          <w:sz w:val="24"/>
          <w:szCs w:val="24"/>
          <w:rtl w:val="0"/>
        </w:rPr>
        <w:t xml:space="preserve">Need for Targeted DEI Strategies:</w:t>
      </w:r>
      <w:r w:rsidDel="00000000" w:rsidR="00000000" w:rsidRPr="00000000">
        <w:rPr>
          <w:rFonts w:ascii="Oswald" w:cs="Oswald" w:eastAsia="Oswald" w:hAnsi="Oswald"/>
          <w:sz w:val="24"/>
          <w:szCs w:val="24"/>
          <w:rtl w:val="0"/>
        </w:rPr>
        <w:t xml:space="preserve"> Because neither funding nor AI maturity correlates with improved female representation, organizations must implement deliberate, structural Diversity, Equity, and Inclusion (DEI) programs rather than assuming organizational growth will fix the gap.</w:t>
      </w:r>
    </w:p>
    <w:p w:rsidR="00000000" w:rsidDel="00000000" w:rsidP="00000000" w:rsidRDefault="00000000" w:rsidRPr="00000000" w14:paraId="00000047">
      <w:pPr>
        <w:numPr>
          <w:ilvl w:val="0"/>
          <w:numId w:val="19"/>
        </w:numPr>
        <w:ind w:left="720" w:hanging="360"/>
        <w:rPr>
          <w:sz w:val="24"/>
          <w:szCs w:val="24"/>
        </w:rPr>
      </w:pPr>
      <w:r w:rsidDel="00000000" w:rsidR="00000000" w:rsidRPr="00000000">
        <w:rPr>
          <w:rFonts w:ascii="Oswald" w:cs="Oswald" w:eastAsia="Oswald" w:hAnsi="Oswald"/>
          <w:b w:val="1"/>
          <w:bCs w:val="1"/>
          <w:sz w:val="24"/>
          <w:szCs w:val="24"/>
          <w:rtl w:val="0"/>
        </w:rPr>
        <w:t xml:space="preserve">Benchmarking Parity Performance:</w:t>
      </w:r>
      <w:r w:rsidDel="00000000" w:rsidR="00000000" w:rsidRPr="00000000">
        <w:rPr>
          <w:rFonts w:ascii="Oswald" w:cs="Oswald" w:eastAsia="Oswald" w:hAnsi="Oswald"/>
          <w:sz w:val="24"/>
          <w:szCs w:val="24"/>
          <w:rtl w:val="0"/>
        </w:rPr>
        <w:t xml:space="preserve"> Companies seeking a competitive edge in employer branding can stand out significantly, as hitting even a 35%+ female representation threshold would place them well above the global industry baseline (~30%).</w:t>
      </w:r>
      <w:r w:rsidDel="00000000" w:rsidR="00000000" w:rsidRPr="00000000">
        <w:rPr>
          <w:rtl w:val="0"/>
        </w:rPr>
      </w:r>
    </w:p>
    <w:p w:rsidR="00000000" w:rsidDel="00000000" w:rsidP="00000000" w:rsidRDefault="00000000" w:rsidRPr="00000000" w14:paraId="00000048">
      <w:pPr>
        <w:pStyle w:val="Heading4"/>
        <w:rPr>
          <w:rFonts w:ascii="Oswald" w:cs="Oswald" w:eastAsia="Oswald" w:hAnsi="Oswald"/>
          <w:b w:val="1"/>
          <w:bCs w:val="1"/>
        </w:rPr>
      </w:pPr>
      <w:bookmarkStart w:colFirst="0" w:colLast="0" w:name="_da5or86bhxlm" w:id="21"/>
      <w:bookmarkEnd w:id="21"/>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49">
      <w:pPr>
        <w:numPr>
          <w:ilvl w:val="0"/>
          <w:numId w:val="17"/>
        </w:numPr>
        <w:ind w:left="720" w:hanging="360"/>
        <w:rPr>
          <w:sz w:val="24"/>
          <w:szCs w:val="24"/>
        </w:rPr>
      </w:pPr>
      <w:r w:rsidDel="00000000" w:rsidR="00000000" w:rsidRPr="00000000">
        <w:rPr>
          <w:rFonts w:ascii="Oswald" w:cs="Oswald" w:eastAsia="Oswald" w:hAnsi="Oswald"/>
          <w:b w:val="1"/>
          <w:bCs w:val="1"/>
          <w:sz w:val="24"/>
          <w:szCs w:val="24"/>
          <w:rtl w:val="0"/>
        </w:rPr>
        <w:t xml:space="preserve">Key Strategic Takeaway:</w:t>
      </w:r>
      <w:r w:rsidDel="00000000" w:rsidR="00000000" w:rsidRPr="00000000">
        <w:rPr>
          <w:rFonts w:ascii="Oswald" w:cs="Oswald" w:eastAsia="Oswald" w:hAnsi="Oswald"/>
          <w:sz w:val="24"/>
          <w:szCs w:val="24"/>
          <w:rtl w:val="0"/>
        </w:rPr>
        <w:t xml:space="preserve"> When presenting these two visuals, emphasize that gender diversity is a structural leadership challenge, not a resources or funding issue.</w:t>
      </w:r>
    </w:p>
    <w:p w:rsidR="00000000" w:rsidDel="00000000" w:rsidP="00000000" w:rsidRDefault="00000000" w:rsidRPr="00000000" w14:paraId="0000004A">
      <w:pPr>
        <w:numPr>
          <w:ilvl w:val="0"/>
          <w:numId w:val="17"/>
        </w:numPr>
        <w:ind w:left="720" w:hanging="360"/>
        <w:rPr>
          <w:sz w:val="24"/>
          <w:szCs w:val="24"/>
        </w:rPr>
      </w:pPr>
      <w:r w:rsidDel="00000000" w:rsidR="00000000" w:rsidRPr="00000000">
        <w:rPr>
          <w:rFonts w:ascii="Oswald" w:cs="Oswald" w:eastAsia="Oswald" w:hAnsi="Oswald"/>
          <w:b w:val="1"/>
          <w:bCs w:val="1"/>
          <w:sz w:val="24"/>
          <w:szCs w:val="24"/>
          <w:rtl w:val="0"/>
        </w:rPr>
        <w:t xml:space="preserve">Targeting the Senior Retention Bottleneck:</w:t>
      </w:r>
      <w:r w:rsidDel="00000000" w:rsidR="00000000" w:rsidRPr="00000000">
        <w:rPr>
          <w:rFonts w:ascii="Oswald" w:cs="Oswald" w:eastAsia="Oswald" w:hAnsi="Oswald"/>
          <w:sz w:val="24"/>
          <w:szCs w:val="24"/>
          <w:rtl w:val="0"/>
        </w:rPr>
        <w:t xml:space="preserve"> The data proves that female talent enters technical roles at entry/senior tiers (~30%–31%), but faces a clear barrier before reaching executive levels (~27%–28%). Sponsorship and targeted retention programs at the Lead level are essential to fix this pipeline.</w:t>
      </w:r>
    </w:p>
    <w:p w:rsidR="00000000" w:rsidDel="00000000" w:rsidP="00000000" w:rsidRDefault="00000000" w:rsidRPr="00000000" w14:paraId="0000004B">
      <w:pPr>
        <w:numPr>
          <w:ilvl w:val="0"/>
          <w:numId w:val="17"/>
        </w:numPr>
        <w:ind w:left="720" w:hanging="360"/>
        <w:rPr>
          <w:sz w:val="24"/>
          <w:szCs w:val="24"/>
        </w:rPr>
      </w:pPr>
      <w:r w:rsidDel="00000000" w:rsidR="00000000" w:rsidRPr="00000000">
        <w:rPr>
          <w:rFonts w:ascii="Oswald" w:cs="Oswald" w:eastAsia="Oswald" w:hAnsi="Oswald"/>
          <w:b w:val="1"/>
          <w:bCs w:val="1"/>
          <w:sz w:val="24"/>
          <w:szCs w:val="24"/>
          <w:rtl w:val="0"/>
        </w:rPr>
        <w:t xml:space="preserve">Competitive Market Opportunity:</w:t>
      </w:r>
      <w:r w:rsidDel="00000000" w:rsidR="00000000" w:rsidRPr="00000000">
        <w:rPr>
          <w:rFonts w:ascii="Oswald" w:cs="Oswald" w:eastAsia="Oswald" w:hAnsi="Oswald"/>
          <w:sz w:val="24"/>
          <w:szCs w:val="24"/>
          <w:rtl w:val="0"/>
        </w:rPr>
        <w:t xml:space="preserve"> Because the industry is stalled at a ~30% diversity ceiling across all spending levels, organizations that proactively build inclusive executive pathways can gain a significant talent acquisition advantage and stand out as industry leaders.</w:t>
      </w:r>
      <w:r w:rsidDel="00000000" w:rsidR="00000000" w:rsidRPr="00000000">
        <w:rPr>
          <w:rtl w:val="0"/>
        </w:rPr>
      </w:r>
    </w:p>
    <w:p w:rsidR="00000000" w:rsidDel="00000000" w:rsidP="00000000" w:rsidRDefault="00000000" w:rsidRPr="00000000" w14:paraId="0000004C">
      <w:pPr>
        <w:pStyle w:val="Heading3"/>
        <w:rPr>
          <w:rFonts w:ascii="Oswald" w:cs="Oswald" w:eastAsia="Oswald" w:hAnsi="Oswald"/>
          <w:b w:val="1"/>
          <w:bCs w:val="1"/>
        </w:rPr>
      </w:pPr>
      <w:bookmarkStart w:colFirst="0" w:colLast="0" w:name="_aiqwt1mcll6f" w:id="22"/>
      <w:bookmarkEnd w:id="22"/>
      <w:r w:rsidDel="00000000" w:rsidR="00000000" w:rsidRPr="00000000">
        <w:rPr>
          <w:rFonts w:ascii="Oswald" w:cs="Oswald" w:eastAsia="Oswald" w:hAnsi="Oswald"/>
          <w:b w:val="1"/>
          <w:bCs w:val="1"/>
          <w:rtl w:val="0"/>
        </w:rPr>
        <w:t xml:space="preserve">Operational &amp; Recruitment Pipelines </w:t>
      </w:r>
    </w:p>
    <w:p w:rsidR="00000000" w:rsidDel="00000000" w:rsidP="00000000" w:rsidRDefault="00000000" w:rsidRPr="00000000" w14:paraId="0000004D">
      <w:pPr>
        <w:pStyle w:val="Heading4"/>
        <w:rPr>
          <w:rFonts w:ascii="Oswald" w:cs="Oswald" w:eastAsia="Oswald" w:hAnsi="Oswald"/>
          <w:b w:val="1"/>
          <w:bCs w:val="1"/>
        </w:rPr>
      </w:pPr>
      <w:bookmarkStart w:colFirst="0" w:colLast="0" w:name="_kn9a6nd4ulsa" w:id="23"/>
      <w:bookmarkEnd w:id="23"/>
      <w:r w:rsidDel="00000000" w:rsidR="00000000" w:rsidRPr="00000000">
        <w:rPr>
          <w:rFonts w:ascii="Oswald" w:cs="Oswald" w:eastAsia="Oswald" w:hAnsi="Oswald"/>
          <w:b w:val="1"/>
          <w:bCs w:val="1"/>
          <w:rtl w:val="0"/>
        </w:rPr>
        <w:t xml:space="preserve">13. Job Posting Velocity &amp; Recruitment Funnel (Area / Line Chart) </w:t>
      </w:r>
    </w:p>
    <w:p w:rsidR="00000000" w:rsidDel="00000000" w:rsidP="00000000" w:rsidRDefault="00000000" w:rsidRPr="00000000" w14:paraId="0000004E">
      <w:pPr>
        <w:numPr>
          <w:ilvl w:val="0"/>
          <w:numId w:val="4"/>
        </w:numPr>
        <w:ind w:left="720" w:hanging="360"/>
        <w:rPr>
          <w:sz w:val="24"/>
          <w:szCs w:val="24"/>
        </w:rPr>
      </w:pPr>
      <w:r w:rsidDel="00000000" w:rsidR="00000000" w:rsidRPr="00000000">
        <w:rPr>
          <w:rFonts w:ascii="Oswald" w:cs="Oswald" w:eastAsia="Oswald" w:hAnsi="Oswald"/>
          <w:b w:val="1"/>
          <w:bCs w:val="1"/>
          <w:sz w:val="24"/>
          <w:szCs w:val="24"/>
          <w:rtl w:val="0"/>
        </w:rPr>
        <w:t xml:space="preserve">Workforce Structure Insights:</w:t>
      </w:r>
      <w:r w:rsidDel="00000000" w:rsidR="00000000" w:rsidRPr="00000000">
        <w:rPr>
          <w:rFonts w:ascii="Oswald" w:cs="Oswald" w:eastAsia="Oswald" w:hAnsi="Oswald"/>
          <w:sz w:val="24"/>
          <w:szCs w:val="24"/>
          <w:rtl w:val="0"/>
        </w:rPr>
        <w:t xml:space="preserve"> Enterprise AI hiring remains anchored heavily by full-time positions. Contract and freelance hires serve as a secondary buffer rather than a replacement for core permanent headcount.</w:t>
      </w:r>
    </w:p>
    <w:p w:rsidR="00000000" w:rsidDel="00000000" w:rsidP="00000000" w:rsidRDefault="00000000" w:rsidRPr="00000000" w14:paraId="0000004F">
      <w:pPr>
        <w:numPr>
          <w:ilvl w:val="0"/>
          <w:numId w:val="4"/>
        </w:numPr>
        <w:ind w:left="720" w:hanging="360"/>
        <w:rPr>
          <w:sz w:val="24"/>
          <w:szCs w:val="24"/>
        </w:rPr>
      </w:pPr>
      <w:r w:rsidDel="00000000" w:rsidR="00000000" w:rsidRPr="00000000">
        <w:rPr>
          <w:rFonts w:ascii="Oswald" w:cs="Oswald" w:eastAsia="Oswald" w:hAnsi="Oswald"/>
          <w:b w:val="1"/>
          <w:bCs w:val="1"/>
          <w:sz w:val="24"/>
          <w:szCs w:val="24"/>
          <w:rtl w:val="0"/>
        </w:rPr>
        <w:t xml:space="preserve">Sourcing Velocity &amp; Cadence:</w:t>
      </w:r>
      <w:r w:rsidDel="00000000" w:rsidR="00000000" w:rsidRPr="00000000">
        <w:rPr>
          <w:rFonts w:ascii="Oswald" w:cs="Oswald" w:eastAsia="Oswald" w:hAnsi="Oswald"/>
          <w:sz w:val="24"/>
          <w:szCs w:val="24"/>
          <w:rtl w:val="0"/>
        </w:rPr>
        <w:t xml:space="preserve"> Because posting dates and application deadlines show matching ongoing velocity across time, talent acquisition teams maintain predictable, evergreen recruitment cadences rather than seasonal hiring spikes.</w:t>
      </w:r>
    </w:p>
    <w:p w:rsidR="00000000" w:rsidDel="00000000" w:rsidP="00000000" w:rsidRDefault="00000000" w:rsidRPr="00000000" w14:paraId="00000050">
      <w:pPr>
        <w:numPr>
          <w:ilvl w:val="0"/>
          <w:numId w:val="4"/>
        </w:numPr>
        <w:ind w:left="720" w:hanging="360"/>
        <w:rPr>
          <w:sz w:val="24"/>
          <w:szCs w:val="24"/>
        </w:rPr>
      </w:pPr>
      <w:r w:rsidDel="00000000" w:rsidR="00000000" w:rsidRPr="00000000">
        <w:rPr>
          <w:rFonts w:ascii="Oswald" w:cs="Oswald" w:eastAsia="Oswald" w:hAnsi="Oswald"/>
          <w:b w:val="1"/>
          <w:bCs w:val="1"/>
          <w:sz w:val="24"/>
          <w:szCs w:val="24"/>
          <w:rtl w:val="0"/>
        </w:rPr>
        <w:t xml:space="preserve">Strategic Contingent Workforce Strategy:</w:t>
      </w:r>
      <w:r w:rsidDel="00000000" w:rsidR="00000000" w:rsidRPr="00000000">
        <w:rPr>
          <w:rFonts w:ascii="Oswald" w:cs="Oswald" w:eastAsia="Oswald" w:hAnsi="Oswald"/>
          <w:sz w:val="24"/>
          <w:szCs w:val="24"/>
          <w:rtl w:val="0"/>
        </w:rPr>
        <w:t xml:space="preserve"> While full-time hiring remains the primary driver, maintaining access to flexible contract and freelance channels (blue and orange bands) gives organizations agility to address short-term project demands without overcommitting long-term payroll.</w:t>
      </w:r>
      <w:r w:rsidDel="00000000" w:rsidR="00000000" w:rsidRPr="00000000">
        <w:rPr>
          <w:rtl w:val="0"/>
        </w:rPr>
      </w:r>
    </w:p>
    <w:p w:rsidR="00000000" w:rsidDel="00000000" w:rsidP="00000000" w:rsidRDefault="00000000" w:rsidRPr="00000000" w14:paraId="00000051">
      <w:pPr>
        <w:pStyle w:val="Heading4"/>
        <w:rPr>
          <w:rFonts w:ascii="Oswald" w:cs="Oswald" w:eastAsia="Oswald" w:hAnsi="Oswald"/>
          <w:b w:val="1"/>
          <w:bCs w:val="1"/>
        </w:rPr>
      </w:pPr>
      <w:bookmarkStart w:colFirst="0" w:colLast="0" w:name="_z0sn3zgho286" w:id="24"/>
      <w:bookmarkEnd w:id="24"/>
      <w:r w:rsidDel="00000000" w:rsidR="00000000" w:rsidRPr="00000000">
        <w:rPr>
          <w:rFonts w:ascii="Oswald" w:cs="Oswald" w:eastAsia="Oswald" w:hAnsi="Oswald"/>
          <w:b w:val="1"/>
          <w:bCs w:val="1"/>
          <w:rtl w:val="0"/>
        </w:rPr>
        <w:t xml:space="preserve">14. Application Time Window vs. Hiring Difficulty (Gantt / Dual Axis) </w:t>
      </w:r>
    </w:p>
    <w:p w:rsidR="00000000" w:rsidDel="00000000" w:rsidP="00000000" w:rsidRDefault="00000000" w:rsidRPr="00000000" w14:paraId="00000052">
      <w:pPr>
        <w:numPr>
          <w:ilvl w:val="0"/>
          <w:numId w:val="7"/>
        </w:numPr>
        <w:ind w:left="720" w:hanging="360"/>
        <w:rPr>
          <w:sz w:val="24"/>
          <w:szCs w:val="24"/>
        </w:rPr>
      </w:pPr>
      <w:r w:rsidDel="00000000" w:rsidR="00000000" w:rsidRPr="00000000">
        <w:rPr>
          <w:rFonts w:ascii="Oswald" w:cs="Oswald" w:eastAsia="Oswald" w:hAnsi="Oswald"/>
          <w:b w:val="1"/>
          <w:bCs w:val="1"/>
          <w:sz w:val="24"/>
          <w:szCs w:val="24"/>
          <w:rtl w:val="0"/>
        </w:rPr>
        <w:t xml:space="preserve">Time-to-Fill as a Metric for Talent Scarcity:</w:t>
      </w:r>
      <w:r w:rsidDel="00000000" w:rsidR="00000000" w:rsidRPr="00000000">
        <w:rPr>
          <w:rFonts w:ascii="Oswald" w:cs="Oswald" w:eastAsia="Oswald" w:hAnsi="Oswald"/>
          <w:sz w:val="24"/>
          <w:szCs w:val="24"/>
          <w:rtl w:val="0"/>
        </w:rPr>
        <w:t xml:space="preserve"> Extended time windows (red blocks) directly highlight extreme talent bottlenecks in emerging fields like Prompt Engineering and Infrastructure. These roles demand prolonged recruitment efforts due to severe skill shortages in the candidate pool.</w:t>
      </w:r>
    </w:p>
    <w:p w:rsidR="00000000" w:rsidDel="00000000" w:rsidP="00000000" w:rsidRDefault="00000000" w:rsidRPr="00000000" w14:paraId="00000053">
      <w:pPr>
        <w:numPr>
          <w:ilvl w:val="0"/>
          <w:numId w:val="7"/>
        </w:numPr>
        <w:ind w:left="720" w:hanging="360"/>
        <w:rPr>
          <w:sz w:val="24"/>
          <w:szCs w:val="24"/>
        </w:rPr>
      </w:pPr>
      <w:r w:rsidDel="00000000" w:rsidR="00000000" w:rsidRPr="00000000">
        <w:rPr>
          <w:rFonts w:ascii="Oswald" w:cs="Oswald" w:eastAsia="Oswald" w:hAnsi="Oswald"/>
          <w:b w:val="1"/>
          <w:bCs w:val="1"/>
          <w:sz w:val="24"/>
          <w:szCs w:val="24"/>
          <w:rtl w:val="0"/>
        </w:rPr>
        <w:t xml:space="preserve">Resource Allocation in Recruiting:</w:t>
      </w:r>
      <w:r w:rsidDel="00000000" w:rsidR="00000000" w:rsidRPr="00000000">
        <w:rPr>
          <w:rFonts w:ascii="Oswald" w:cs="Oswald" w:eastAsia="Oswald" w:hAnsi="Oswald"/>
          <w:sz w:val="24"/>
          <w:szCs w:val="24"/>
          <w:rtl w:val="0"/>
        </w:rPr>
        <w:t xml:space="preserve"> Talent acquisition teams should shorten hiring SLAs for low-difficulty roles like Data Scientists and AI Operations Managers (green blocks), while dedicating specialized executive search resources and flexible timeline budgets to high-difficulty roles.</w:t>
      </w:r>
    </w:p>
    <w:p w:rsidR="00000000" w:rsidDel="00000000" w:rsidP="00000000" w:rsidRDefault="00000000" w:rsidRPr="00000000" w14:paraId="00000054">
      <w:pPr>
        <w:numPr>
          <w:ilvl w:val="0"/>
          <w:numId w:val="7"/>
        </w:numPr>
        <w:ind w:left="720" w:hanging="360"/>
        <w:rPr>
          <w:sz w:val="24"/>
          <w:szCs w:val="24"/>
        </w:rPr>
      </w:pPr>
      <w:r w:rsidDel="00000000" w:rsidR="00000000" w:rsidRPr="00000000">
        <w:rPr>
          <w:rFonts w:ascii="Oswald" w:cs="Oswald" w:eastAsia="Oswald" w:hAnsi="Oswald"/>
          <w:b w:val="1"/>
          <w:bCs w:val="1"/>
          <w:sz w:val="24"/>
          <w:szCs w:val="24"/>
          <w:rtl w:val="0"/>
        </w:rPr>
        <w:t xml:space="preserve">Strategic Workforce Planning:</w:t>
      </w:r>
      <w:r w:rsidDel="00000000" w:rsidR="00000000" w:rsidRPr="00000000">
        <w:rPr>
          <w:rFonts w:ascii="Oswald" w:cs="Oswald" w:eastAsia="Oswald" w:hAnsi="Oswald"/>
          <w:sz w:val="24"/>
          <w:szCs w:val="24"/>
          <w:rtl w:val="0"/>
        </w:rPr>
        <w:t xml:space="preserve"> Positions taking the longest to fill (4,800+ days cumulative) risk project delays. Organizations should proactively establish talent pipelines or upskill internal teams rather than relying solely on open-market hiring for high-difficulty titles.</w:t>
      </w:r>
      <w:r w:rsidDel="00000000" w:rsidR="00000000" w:rsidRPr="00000000">
        <w:rPr>
          <w:rtl w:val="0"/>
        </w:rPr>
      </w:r>
    </w:p>
    <w:p w:rsidR="00000000" w:rsidDel="00000000" w:rsidP="00000000" w:rsidRDefault="00000000" w:rsidRPr="00000000" w14:paraId="00000055">
      <w:pPr>
        <w:pStyle w:val="Heading4"/>
        <w:rPr>
          <w:rFonts w:ascii="Oswald" w:cs="Oswald" w:eastAsia="Oswald" w:hAnsi="Oswald"/>
          <w:b w:val="1"/>
          <w:bCs w:val="1"/>
        </w:rPr>
      </w:pPr>
      <w:bookmarkStart w:colFirst="0" w:colLast="0" w:name="_3rq0s85dp7si" w:id="25"/>
      <w:bookmarkEnd w:id="25"/>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56">
      <w:pPr>
        <w:numPr>
          <w:ilvl w:val="0"/>
          <w:numId w:val="20"/>
        </w:numPr>
        <w:ind w:left="720" w:hanging="360"/>
        <w:rPr>
          <w:sz w:val="24"/>
          <w:szCs w:val="24"/>
        </w:rPr>
      </w:pPr>
      <w:r w:rsidDel="00000000" w:rsidR="00000000" w:rsidRPr="00000000">
        <w:rPr>
          <w:rFonts w:ascii="Oswald" w:cs="Oswald" w:eastAsia="Oswald" w:hAnsi="Oswald"/>
          <w:b w:val="1"/>
          <w:bCs w:val="1"/>
          <w:sz w:val="24"/>
          <w:szCs w:val="24"/>
          <w:rtl w:val="0"/>
        </w:rPr>
        <w:t xml:space="preserve">Operationalizing Recruitment Strategy:</w:t>
      </w:r>
      <w:r w:rsidDel="00000000" w:rsidR="00000000" w:rsidRPr="00000000">
        <w:rPr>
          <w:rFonts w:ascii="Oswald" w:cs="Oswald" w:eastAsia="Oswald" w:hAnsi="Oswald"/>
          <w:sz w:val="24"/>
          <w:szCs w:val="24"/>
          <w:rtl w:val="0"/>
        </w:rPr>
        <w:t xml:space="preserve"> Combining posting velocity with application window data reveals where recruitment operations run smoothly versus where severe bottlenecks exist.</w:t>
      </w:r>
    </w:p>
    <w:p w:rsidR="00000000" w:rsidDel="00000000" w:rsidP="00000000" w:rsidRDefault="00000000" w:rsidRPr="00000000" w14:paraId="00000057">
      <w:pPr>
        <w:numPr>
          <w:ilvl w:val="0"/>
          <w:numId w:val="20"/>
        </w:numPr>
        <w:ind w:left="720" w:hanging="360"/>
        <w:rPr>
          <w:sz w:val="24"/>
          <w:szCs w:val="24"/>
        </w:rPr>
      </w:pPr>
      <w:r w:rsidDel="00000000" w:rsidR="00000000" w:rsidRPr="00000000">
        <w:rPr>
          <w:rFonts w:ascii="Oswald" w:cs="Oswald" w:eastAsia="Oswald" w:hAnsi="Oswald"/>
          <w:b w:val="1"/>
          <w:bCs w:val="1"/>
          <w:sz w:val="24"/>
          <w:szCs w:val="24"/>
          <w:rtl w:val="0"/>
        </w:rPr>
        <w:t xml:space="preserve">Budget &amp; SLA Allocation:</w:t>
      </w:r>
      <w:r w:rsidDel="00000000" w:rsidR="00000000" w:rsidRPr="00000000">
        <w:rPr>
          <w:rFonts w:ascii="Oswald" w:cs="Oswald" w:eastAsia="Oswald" w:hAnsi="Oswald"/>
          <w:sz w:val="24"/>
          <w:szCs w:val="24"/>
          <w:rtl w:val="0"/>
        </w:rPr>
        <w:t xml:space="preserve"> Establish fast-track hiring pipelines for low-difficulty roles like Data Scientists to keep time-to-fill low. For high-difficulty infrastructure and prompt engineering roles, budget for longer requisition lifecycles and higher agency/search spend.</w:t>
      </w:r>
    </w:p>
    <w:p w:rsidR="00000000" w:rsidDel="00000000" w:rsidP="00000000" w:rsidRDefault="00000000" w:rsidRPr="00000000" w14:paraId="00000058">
      <w:pPr>
        <w:numPr>
          <w:ilvl w:val="0"/>
          <w:numId w:val="20"/>
        </w:numPr>
        <w:ind w:left="720" w:hanging="360"/>
        <w:rPr>
          <w:sz w:val="24"/>
          <w:szCs w:val="24"/>
        </w:rPr>
      </w:pPr>
      <w:r w:rsidDel="00000000" w:rsidR="00000000" w:rsidRPr="00000000">
        <w:rPr>
          <w:rFonts w:ascii="Oswald" w:cs="Oswald" w:eastAsia="Oswald" w:hAnsi="Oswald"/>
          <w:b w:val="1"/>
          <w:bCs w:val="1"/>
          <w:sz w:val="24"/>
          <w:szCs w:val="24"/>
          <w:rtl w:val="0"/>
        </w:rPr>
        <w:t xml:space="preserve">Agility Through Workforce Mix:</w:t>
      </w:r>
      <w:r w:rsidDel="00000000" w:rsidR="00000000" w:rsidRPr="00000000">
        <w:rPr>
          <w:rFonts w:ascii="Oswald" w:cs="Oswald" w:eastAsia="Oswald" w:hAnsi="Oswald"/>
          <w:sz w:val="24"/>
          <w:szCs w:val="24"/>
          <w:rtl w:val="0"/>
        </w:rPr>
        <w:t xml:space="preserve"> While permanent full-time hiring remains the foundation of enterprise AI strategy, leveraging contract talent for high-difficulty titles can bridge skill gaps while long-term permanent requisitions are actively sourced.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