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2A514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PRD</w:t>
      </w:r>
    </w:p>
    <w:p w14:paraId="70E74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——</w:t>
      </w:r>
      <w:r>
        <w:rPr>
          <w:rFonts w:hint="eastAsia" w:ascii="微软雅黑" w:hAnsi="微软雅黑" w:eastAsia="微软雅黑" w:cs="微软雅黑"/>
        </w:rPr>
        <w:t>基于病例数据库的私人定制医学指导工具</w:t>
      </w:r>
    </w:p>
    <w:p w14:paraId="2FEEDB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1A2DCE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 </w:t>
      </w:r>
      <w:r>
        <w:rPr>
          <w:rFonts w:hint="eastAsia" w:ascii="微软雅黑" w:hAnsi="微软雅黑" w:eastAsia="微软雅黑" w:cs="微软雅黑"/>
        </w:rPr>
        <w:t>产品层（A）</w:t>
      </w:r>
    </w:p>
    <w:p w14:paraId="0D75E5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1.1 </w:t>
      </w:r>
      <w:r>
        <w:rPr>
          <w:rFonts w:hint="eastAsia" w:ascii="微软雅黑" w:hAnsi="微软雅黑" w:eastAsia="微软雅黑" w:cs="微软雅黑"/>
        </w:rPr>
        <w:t>项目概述</w:t>
      </w:r>
    </w:p>
    <w:p w14:paraId="1F51D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产品是面向高净值成年人与老年群体的指导型健康管理工具，以病例数据库为核心，为用户提供基于相似病例的个性化健康指导方案，不涉及医疗诊断、处方开具等诊疗行为，同时提供本地医疗资源推荐，形成线上指导+线下服务的健康管理闭环。</w:t>
      </w:r>
    </w:p>
    <w:p w14:paraId="5281BB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1.2 </w:t>
      </w:r>
      <w:r>
        <w:rPr>
          <w:rFonts w:hint="eastAsia" w:ascii="微软雅黑" w:hAnsi="微软雅黑" w:eastAsia="微软雅黑" w:cs="微软雅黑"/>
        </w:rPr>
        <w:t>目标用户</w:t>
      </w:r>
    </w:p>
    <w:p w14:paraId="781120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高净值成年人：时间紧张，体检后需要个性化健康干预方案的用户。</w:t>
      </w:r>
    </w:p>
    <w:p w14:paraId="4E2B16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老年用户：患有慢性病，需要居家健康指导、用药建议的老年群体。</w:t>
      </w:r>
    </w:p>
    <w:p w14:paraId="59E039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1.3 </w:t>
      </w:r>
      <w:r>
        <w:rPr>
          <w:rFonts w:hint="eastAsia" w:ascii="微软雅黑" w:hAnsi="微软雅黑" w:eastAsia="微软雅黑" w:cs="微软雅黑"/>
        </w:rPr>
        <w:t>痛点/假设</w:t>
      </w:r>
    </w:p>
    <w:p w14:paraId="495B85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现有健康咨询信息泛化，缺乏真实病例支撑，可信度低。</w:t>
      </w:r>
    </w:p>
    <w:p w14:paraId="30EB74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用户健康描述与健康方案匹配逻辑不透明，结果无法追溯。</w:t>
      </w:r>
    </w:p>
    <w:p w14:paraId="08734B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专业医疗能力仅面向B端，C端用户无法获取可落地、可执行的指导。</w:t>
      </w:r>
    </w:p>
    <w:p w14:paraId="41B9D2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老年用户对复杂操作界面不适应，使用门槛高。</w:t>
      </w:r>
    </w:p>
    <w:p w14:paraId="2BE485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1.4 </w:t>
      </w:r>
      <w:r>
        <w:rPr>
          <w:rFonts w:hint="eastAsia" w:ascii="微软雅黑" w:hAnsi="微软雅黑" w:eastAsia="微软雅黑" w:cs="微软雅黑"/>
        </w:rPr>
        <w:t>价值主张</w:t>
      </w:r>
    </w:p>
    <w:p w14:paraId="29E959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通过脱敏病例库与相似性检索技术，为用户提供可追溯、可执行的个性化健康指导；同时通过双模式界面降低老年用户使用门槛，建立从信息输入到方案落地的完整服务闭环。</w:t>
      </w:r>
    </w:p>
    <w:p w14:paraId="5B72D0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106C33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</w:rPr>
        <w:t>范围层（B）</w:t>
      </w:r>
    </w:p>
    <w:p w14:paraId="1853A8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2.1 </w:t>
      </w:r>
      <w:r>
        <w:rPr>
          <w:rFonts w:hint="eastAsia" w:ascii="微软雅黑" w:hAnsi="微软雅黑" w:eastAsia="微软雅黑" w:cs="微软雅黑"/>
        </w:rPr>
        <w:t>MVP范围</w:t>
      </w:r>
    </w:p>
    <w:p w14:paraId="556B1E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双模式用户端（成人简洁版/老年大字版）</w:t>
      </w:r>
    </w:p>
    <w:p w14:paraId="5A99C9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病例库与相似病例匹配功能</w:t>
      </w:r>
    </w:p>
    <w:p w14:paraId="27585C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基础健康指导方案生成</w:t>
      </w:r>
    </w:p>
    <w:p w14:paraId="15A348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数据统计看板</w:t>
      </w:r>
    </w:p>
    <w:p w14:paraId="15FE0B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2.2 </w:t>
      </w:r>
      <w:r>
        <w:rPr>
          <w:rFonts w:hint="eastAsia" w:ascii="微软雅黑" w:hAnsi="微软雅黑" w:eastAsia="微软雅黑" w:cs="微软雅黑"/>
        </w:rPr>
        <w:t>功能优先级</w:t>
      </w:r>
    </w:p>
    <w:p w14:paraId="2890A8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P0：用户信息录入、关键词检索、病例匹配、健康方案输出</w:t>
      </w:r>
    </w:p>
    <w:p w14:paraId="487AA7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P1：老年模式优化、本地医疗资源推荐、反馈提交功能</w:t>
      </w:r>
    </w:p>
    <w:p w14:paraId="3DDE5D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P2：多轮对话式咨询、健康数据长期追踪</w:t>
      </w:r>
    </w:p>
    <w:p w14:paraId="3AF005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2.3 </w:t>
      </w:r>
      <w:r>
        <w:rPr>
          <w:rFonts w:hint="eastAsia" w:ascii="微软雅黑" w:hAnsi="微软雅黑" w:eastAsia="微软雅黑" w:cs="微软雅黑"/>
        </w:rPr>
        <w:t>不做清单</w:t>
      </w:r>
    </w:p>
    <w:p w14:paraId="18B4F7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不提供医疗诊断、处方开具等诊疗服务</w:t>
      </w:r>
    </w:p>
    <w:p w14:paraId="327C0C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不直接对接线下医疗服务交易，仅提供资源信息推荐</w:t>
      </w:r>
    </w:p>
    <w:p w14:paraId="002745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不做全病种覆盖，仅聚焦慢病管理与日常健康场景</w:t>
      </w:r>
    </w:p>
    <w:p w14:paraId="641051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 w14:paraId="35E931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</w:rPr>
        <w:t>流程层（C）</w:t>
      </w:r>
    </w:p>
    <w:p w14:paraId="342EB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3.1 </w:t>
      </w:r>
      <w:r>
        <w:rPr>
          <w:rFonts w:hint="eastAsia" w:ascii="微软雅黑" w:hAnsi="微软雅黑" w:eastAsia="微软雅黑" w:cs="微软雅黑"/>
        </w:rPr>
        <w:t>主用户流程</w:t>
      </w:r>
    </w:p>
    <w:p w14:paraId="6E6575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用户输入健康信息/关键词 → 关键词提取与病症</w:t>
      </w:r>
      <w:r>
        <w:rPr>
          <w:rFonts w:hint="eastAsia" w:ascii="微软雅黑" w:hAnsi="微软雅黑" w:eastAsia="微软雅黑" w:cs="微软雅黑"/>
          <w:lang w:val="en-US" w:eastAsia="zh-CN"/>
        </w:rPr>
        <w:t>归类</w:t>
      </w:r>
      <w:r>
        <w:rPr>
          <w:rFonts w:hint="eastAsia" w:ascii="微软雅黑" w:hAnsi="微软雅黑" w:eastAsia="微软雅黑" w:cs="微软雅黑"/>
        </w:rPr>
        <w:t xml:space="preserve"> → 病例库相似检索与匹配 → 生成个性化健康指导方案 → 展示参考病例与本地医疗资源入口 → 数据统计与反馈收集</w:t>
      </w:r>
    </w:p>
    <w:p w14:paraId="3E5DA6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3.2 </w:t>
      </w:r>
      <w:r>
        <w:rPr>
          <w:rFonts w:hint="eastAsia" w:ascii="微软雅黑" w:hAnsi="微软雅黑" w:eastAsia="微软雅黑" w:cs="微软雅黑"/>
        </w:rPr>
        <w:t>关键页面/交互</w:t>
      </w:r>
    </w:p>
    <w:p w14:paraId="126D70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双模式首页：支持成人/老年模式一键切换，核心功能入口清晰。</w:t>
      </w:r>
    </w:p>
    <w:p w14:paraId="24B4EF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健康信息录入页：提供症状关键词提示，降低用户输入门槛。</w:t>
      </w:r>
    </w:p>
    <w:p w14:paraId="4F184C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病例匹配结果页：展示参考病例，说明匹配逻辑。</w:t>
      </w:r>
    </w:p>
    <w:p w14:paraId="5D3295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方案详情页：通俗化健康指导+可执行步骤+本地资源推荐。</w:t>
      </w:r>
    </w:p>
    <w:p w14:paraId="7250DF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 运维数据看板页：展示用户数据、匹配成功率、反馈统计等信息。</w:t>
      </w:r>
    </w:p>
    <w:p w14:paraId="223073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18C059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</w:rPr>
        <w:t>系统层（D）</w:t>
      </w:r>
    </w:p>
    <w:p w14:paraId="22C93F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4.1 </w:t>
      </w:r>
      <w:r>
        <w:rPr>
          <w:rFonts w:hint="eastAsia" w:ascii="微软雅黑" w:hAnsi="微软雅黑" w:eastAsia="微软雅黑" w:cs="微软雅黑"/>
        </w:rPr>
        <w:t>技术栈</w:t>
      </w:r>
    </w:p>
    <w:p w14:paraId="6D1786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前端：</w:t>
      </w:r>
      <w:r>
        <w:rPr>
          <w:rFonts w:hint="eastAsia" w:ascii="微软雅黑" w:hAnsi="微软雅黑" w:eastAsia="微软雅黑" w:cs="微软雅黑"/>
          <w:lang w:val="en-US" w:eastAsia="zh-CN"/>
        </w:rPr>
        <w:t>本地大语言模型，增强数据隐私性</w:t>
      </w:r>
    </w:p>
    <w:p w14:paraId="62033D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后端：Python</w:t>
      </w:r>
    </w:p>
    <w:p w14:paraId="500C14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数据库：</w:t>
      </w:r>
    </w:p>
    <w:p w14:paraId="7D0B2F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4.2 </w:t>
      </w:r>
      <w:r>
        <w:rPr>
          <w:rFonts w:hint="eastAsia" w:ascii="微软雅黑" w:hAnsi="微软雅黑" w:eastAsia="微软雅黑" w:cs="微软雅黑"/>
        </w:rPr>
        <w:t>系统边界</w:t>
      </w:r>
    </w:p>
    <w:p w14:paraId="309C97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 </w:t>
      </w:r>
      <w:r>
        <w:rPr>
          <w:rFonts w:hint="eastAsia" w:ascii="微软雅黑" w:hAnsi="微软雅黑" w:eastAsia="微软雅黑" w:cs="微软雅黑"/>
        </w:rPr>
        <w:t>系统仅处理用户健康信息与脱敏病例数据的匹配逻辑，不涉及医疗诊断、处方开具</w:t>
      </w:r>
    </w:p>
    <w:p w14:paraId="5FC6B0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 </w:t>
      </w:r>
      <w:r>
        <w:rPr>
          <w:rFonts w:hint="eastAsia" w:ascii="微软雅黑" w:hAnsi="微软雅黑" w:eastAsia="微软雅黑" w:cs="微软雅黑"/>
        </w:rPr>
        <w:t>不存储用户敏感隐私数据，仅在本地进行加密处理。</w:t>
      </w:r>
    </w:p>
    <w:p w14:paraId="5FAEA1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7DE83E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4.3 </w:t>
      </w:r>
      <w:r>
        <w:rPr>
          <w:rFonts w:hint="eastAsia" w:ascii="微软雅黑" w:hAnsi="微软雅黑" w:eastAsia="微软雅黑" w:cs="微软雅黑"/>
        </w:rPr>
        <w:t>模块与接口</w:t>
      </w:r>
    </w:p>
    <w:p w14:paraId="75FBD7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用户交互模块：信息录入、模式切换、结果展示</w:t>
      </w:r>
    </w:p>
    <w:p w14:paraId="0C267E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病例检索匹配模块：关键词处理、相似性计算、病例匹配</w:t>
      </w:r>
    </w:p>
    <w:p w14:paraId="0547E4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方案生成模块：根据匹配结果生成个性化健康指导</w:t>
      </w:r>
    </w:p>
    <w:p w14:paraId="10441E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运维数据统计模块：用户行为、反馈数据统计分析</w:t>
      </w:r>
    </w:p>
    <w:p w14:paraId="3B5A86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 本地医疗资源对接接口：获取并展示线下服务点位信息</w:t>
      </w:r>
    </w:p>
    <w:p w14:paraId="3AEAA7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2924DE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4.4 </w:t>
      </w:r>
      <w:r>
        <w:rPr>
          <w:rFonts w:hint="eastAsia" w:ascii="微软雅黑" w:hAnsi="微软雅黑" w:eastAsia="微软雅黑" w:cs="微软雅黑"/>
        </w:rPr>
        <w:t>数据权限</w:t>
      </w:r>
    </w:p>
    <w:p w14:paraId="4DB002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用户健康数据：本地加密存储，不上传云端。</w:t>
      </w:r>
    </w:p>
    <w:p w14:paraId="1B3516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病例数据：仅用于检索匹配，不对外泄露。</w:t>
      </w:r>
    </w:p>
    <w:p w14:paraId="66D857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运维数据：仅对后台管理员开放。</w:t>
      </w:r>
    </w:p>
    <w:p w14:paraId="466C9A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58536E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 </w:t>
      </w:r>
      <w:r>
        <w:rPr>
          <w:rFonts w:hint="eastAsia" w:ascii="微软雅黑" w:hAnsi="微软雅黑" w:eastAsia="微软雅黑" w:cs="微软雅黑"/>
        </w:rPr>
        <w:t>验证层（E）</w:t>
      </w:r>
    </w:p>
    <w:p w14:paraId="2B9800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5.1 </w:t>
      </w:r>
      <w:r>
        <w:rPr>
          <w:rFonts w:hint="eastAsia" w:ascii="微软雅黑" w:hAnsi="微软雅黑" w:eastAsia="微软雅黑" w:cs="微软雅黑"/>
        </w:rPr>
        <w:t>成功指标</w:t>
      </w:r>
    </w:p>
    <w:p w14:paraId="7181A6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用户可在3步内完成核心健康指导操作。</w:t>
      </w:r>
    </w:p>
    <w:p w14:paraId="496EF5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相似病例匹配逻辑可追溯、可解释。</w:t>
      </w:r>
    </w:p>
    <w:p w14:paraId="20B5F6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无任何违规诊疗相关功能与表述。</w:t>
      </w:r>
    </w:p>
    <w:p w14:paraId="6B9D37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5.2 </w:t>
      </w:r>
      <w:r>
        <w:rPr>
          <w:rFonts w:hint="eastAsia" w:ascii="微软雅黑" w:hAnsi="微软雅黑" w:eastAsia="微软雅黑" w:cs="微软雅黑"/>
        </w:rPr>
        <w:t>验收标准</w:t>
      </w:r>
    </w:p>
    <w:p w14:paraId="776F59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主用户流程可完整跑通，无功能阻塞。</w:t>
      </w:r>
    </w:p>
    <w:p w14:paraId="2680FB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成人/老年双模式界面适配完成，交互流畅。</w:t>
      </w:r>
    </w:p>
    <w:p w14:paraId="7F1FEA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运维数据统计功能正常，可生成基础报表。</w:t>
      </w:r>
    </w:p>
    <w:p w14:paraId="33CDF3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 通过合规性审查，无违规内容。</w:t>
      </w:r>
    </w:p>
    <w:p w14:paraId="419B6D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5.3 </w:t>
      </w:r>
      <w:r>
        <w:rPr>
          <w:rFonts w:hint="eastAsia" w:ascii="微软雅黑" w:hAnsi="微软雅黑" w:eastAsia="微软雅黑" w:cs="微软雅黑"/>
        </w:rPr>
        <w:t>测试矩阵</w:t>
      </w:r>
    </w:p>
    <w:p w14:paraId="7EBF2B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功能测试：各模块流程验证，确保核心功能可用。</w:t>
      </w:r>
    </w:p>
    <w:p w14:paraId="683A95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兼容性测试：老年模式易用性测试，验证不同设备适配效果。</w:t>
      </w:r>
    </w:p>
    <w:p w14:paraId="3A6506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合规测试：检查所有功能与表述，确保无违规诊疗相关内容。</w:t>
      </w:r>
    </w:p>
    <w:p w14:paraId="092DC7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5.4 </w:t>
      </w:r>
      <w:r>
        <w:rPr>
          <w:rFonts w:hint="eastAsia" w:ascii="微软雅黑" w:hAnsi="微软雅黑" w:eastAsia="微软雅黑" w:cs="微软雅黑"/>
        </w:rPr>
        <w:t>风险假设与预案</w:t>
      </w:r>
    </w:p>
    <w:p w14:paraId="1ED072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 病例匹配逻辑准确率不足：预案为扩充病例数据集、优化匹配权重、增加人工审核环节。</w:t>
      </w:r>
    </w:p>
    <w:p w14:paraId="2A4039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 老年用户操作门槛过高：预案为简化操作步骤、增加语音输入、提供线下操作教程。</w:t>
      </w:r>
    </w:p>
    <w:p w14:paraId="094809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 合规风险（被误认为提供诊疗服务）：预案为界面显著位置增加免责声明、禁用所有诊疗相关词汇、邀请专业人士审核内容。</w:t>
      </w:r>
    </w:p>
    <w:p w14:paraId="4346C0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</w:p>
    <w:p w14:paraId="2D4F9A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 </w:t>
      </w:r>
      <w:r>
        <w:rPr>
          <w:rFonts w:hint="eastAsia" w:ascii="微软雅黑" w:hAnsi="微软雅黑" w:eastAsia="微软雅黑" w:cs="微软雅黑"/>
        </w:rPr>
        <w:t>管理层（F）</w:t>
      </w:r>
    </w:p>
    <w:p w14:paraId="085706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6.1 </w:t>
      </w:r>
      <w:r>
        <w:rPr>
          <w:rFonts w:hint="eastAsia" w:ascii="微软雅黑" w:hAnsi="微软雅黑" w:eastAsia="微软雅黑" w:cs="微软雅黑"/>
        </w:rPr>
        <w:t>版本记录</w:t>
      </w:r>
    </w:p>
    <w:p w14:paraId="0C41D3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6.2 </w:t>
      </w:r>
      <w:r>
        <w:rPr>
          <w:rFonts w:hint="eastAsia" w:ascii="微软雅黑" w:hAnsi="微软雅黑" w:eastAsia="微软雅黑" w:cs="微软雅黑"/>
        </w:rPr>
        <w:t>负责人</w:t>
      </w:r>
    </w:p>
    <w:p w14:paraId="24201A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产品负责人：白孟石</w:t>
      </w:r>
    </w:p>
    <w:p w14:paraId="230671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技术开发：开发团队</w:t>
      </w:r>
    </w:p>
    <w:p w14:paraId="1C6E20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运维运营：运营团队</w:t>
      </w:r>
    </w:p>
    <w:p w14:paraId="0D702B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合规审核：审核人员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7A3E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CC4468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CC4468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A5D6E">
    <w:pPr>
      <w:pStyle w:val="4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B53E2"/>
    <w:rsid w:val="07300C50"/>
    <w:rsid w:val="10C55FD8"/>
    <w:rsid w:val="35D11B51"/>
    <w:rsid w:val="4F563CC4"/>
    <w:rsid w:val="597B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2026-05-05T07:23:05Z</dcterms:created>
  <dc:creator>HP</dc:creator>
  <cp:lastModifiedBy>白孟石0101</cp:lastModifiedBy>
  <dcterms:modified xsi:type="dcterms:W3CDTF">2026-05-05T07:35:58Z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eyJoZGlkIjoiNzMxYzRiNzNiZDg2ODE2OTQzYWVjYzUwZjIxYzg4ZDIiLCJ1c2VySWQiOiIxODIzMTIwNzMzIn0=</vt:lpwstr>
  </property>
  <property fmtid="{D5CDD505-2E9C-101B-9397-08002B2CF9AE}" pid="4" name="ICV">
    <vt:lpwstr>A1A546E0DAED49669F0E2395B12550BD_12</vt:lpwstr>
  </property>
</Properties>
</file>