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B93F6" w14:textId="77777777" w:rsidR="00DA25F2" w:rsidRPr="0078106A" w:rsidRDefault="00DA25F2" w:rsidP="00D73714">
      <w:pPr>
        <w:pStyle w:val="Authors"/>
        <w:rPr>
          <w:b/>
          <w:bCs/>
          <w:kern w:val="28"/>
          <w:sz w:val="28"/>
          <w:szCs w:val="28"/>
          <w:lang w:val="en-GB"/>
        </w:rPr>
      </w:pPr>
      <w:r w:rsidRPr="0078106A">
        <w:rPr>
          <w:b/>
          <w:bCs/>
          <w:kern w:val="28"/>
          <w:sz w:val="28"/>
          <w:szCs w:val="28"/>
          <w:lang w:val="en-GB"/>
        </w:rPr>
        <w:t>Transcriptomic Analysis of Host Cell Responses to SARS-CoV-2 Infection in Human Caco-2 Cells</w:t>
      </w:r>
    </w:p>
    <w:p w14:paraId="6CBA26E7" w14:textId="5753DAD2" w:rsidR="006E5832" w:rsidRPr="0078106A" w:rsidRDefault="00D73714" w:rsidP="00D73714">
      <w:pPr>
        <w:pStyle w:val="Authors"/>
        <w:rPr>
          <w:lang w:val="en-GB"/>
        </w:rPr>
      </w:pPr>
      <w:r w:rsidRPr="0078106A">
        <w:rPr>
          <w:b/>
          <w:lang w:val="en-GB"/>
        </w:rPr>
        <w:t>Authors:</w:t>
      </w:r>
      <w:r w:rsidR="00A23CD5" w:rsidRPr="0078106A">
        <w:rPr>
          <w:lang w:val="en-GB"/>
        </w:rPr>
        <w:t xml:space="preserve"> </w:t>
      </w:r>
      <w:r w:rsidR="00DA25F2" w:rsidRPr="0078106A">
        <w:rPr>
          <w:lang w:val="en-GB"/>
        </w:rPr>
        <w:t>Robert J Wildy</w:t>
      </w:r>
      <w:r w:rsidR="00DA25F2" w:rsidRPr="0078106A">
        <w:rPr>
          <w:vertAlign w:val="superscript"/>
          <w:lang w:val="en-GB"/>
        </w:rPr>
        <w:t>1</w:t>
      </w:r>
      <w:r w:rsidR="00DA25F2" w:rsidRPr="0078106A">
        <w:rPr>
          <w:lang w:val="en-GB"/>
        </w:rPr>
        <w:t>*</w:t>
      </w:r>
    </w:p>
    <w:p w14:paraId="264E2EA1" w14:textId="77777777" w:rsidR="00D768B9" w:rsidRPr="0078106A" w:rsidRDefault="00D768B9" w:rsidP="00B9331C">
      <w:pPr>
        <w:ind w:left="360"/>
        <w:rPr>
          <w:b/>
          <w:bCs/>
          <w:sz w:val="24"/>
          <w:szCs w:val="24"/>
        </w:rPr>
      </w:pPr>
    </w:p>
    <w:p w14:paraId="33CB6B6B" w14:textId="77EBFD14" w:rsidR="00A940D1" w:rsidRPr="0078106A" w:rsidRDefault="00B52557" w:rsidP="00B9331C">
      <w:pPr>
        <w:ind w:left="360"/>
        <w:rPr>
          <w:rFonts w:eastAsia="Times New Roman"/>
          <w:color w:val="000000"/>
          <w:sz w:val="24"/>
          <w:szCs w:val="24"/>
        </w:rPr>
      </w:pPr>
      <w:r w:rsidRPr="0078106A">
        <w:rPr>
          <w:sz w:val="24"/>
          <w:szCs w:val="24"/>
          <w:vertAlign w:val="superscript"/>
        </w:rPr>
        <w:t>1</w:t>
      </w:r>
      <w:r w:rsidRPr="0078106A">
        <w:rPr>
          <w:rFonts w:eastAsia="Times New Roman"/>
          <w:color w:val="000000"/>
          <w:sz w:val="24"/>
          <w:szCs w:val="24"/>
        </w:rPr>
        <w:t xml:space="preserve">Department of </w:t>
      </w:r>
      <w:r w:rsidR="00DA25F2" w:rsidRPr="0078106A">
        <w:rPr>
          <w:rFonts w:eastAsia="Times New Roman"/>
          <w:color w:val="000000"/>
          <w:sz w:val="24"/>
          <w:szCs w:val="24"/>
        </w:rPr>
        <w:t>Biosciences</w:t>
      </w:r>
      <w:r w:rsidRPr="0078106A">
        <w:rPr>
          <w:rFonts w:eastAsia="Times New Roman"/>
          <w:color w:val="000000"/>
          <w:sz w:val="24"/>
          <w:szCs w:val="24"/>
        </w:rPr>
        <w:t xml:space="preserve">, </w:t>
      </w:r>
      <w:r w:rsidR="00DA25F2" w:rsidRPr="0078106A">
        <w:rPr>
          <w:rFonts w:eastAsia="Times New Roman"/>
          <w:color w:val="000000"/>
          <w:sz w:val="24"/>
          <w:szCs w:val="24"/>
        </w:rPr>
        <w:t xml:space="preserve">Cardiff </w:t>
      </w:r>
      <w:r w:rsidRPr="0078106A">
        <w:rPr>
          <w:rFonts w:eastAsia="Times New Roman"/>
          <w:color w:val="000000"/>
          <w:sz w:val="24"/>
          <w:szCs w:val="24"/>
        </w:rPr>
        <w:t>University; </w:t>
      </w:r>
      <w:r w:rsidR="00DA25F2" w:rsidRPr="0078106A">
        <w:rPr>
          <w:rFonts w:eastAsia="Times New Roman"/>
          <w:color w:val="000000"/>
          <w:sz w:val="24"/>
          <w:szCs w:val="24"/>
        </w:rPr>
        <w:t>Cardiff</w:t>
      </w:r>
      <w:r w:rsidRPr="0078106A">
        <w:rPr>
          <w:rFonts w:eastAsia="Times New Roman"/>
          <w:color w:val="000000"/>
          <w:sz w:val="24"/>
          <w:szCs w:val="24"/>
        </w:rPr>
        <w:t xml:space="preserve">, </w:t>
      </w:r>
      <w:r w:rsidR="00DA25F2" w:rsidRPr="0078106A">
        <w:rPr>
          <w:rFonts w:eastAsia="Times New Roman"/>
          <w:color w:val="000000"/>
          <w:sz w:val="24"/>
          <w:szCs w:val="24"/>
        </w:rPr>
        <w:t>CF10 3AX</w:t>
      </w:r>
      <w:r w:rsidRPr="0078106A">
        <w:rPr>
          <w:rFonts w:eastAsia="Times New Roman"/>
          <w:color w:val="000000"/>
          <w:sz w:val="24"/>
          <w:szCs w:val="24"/>
        </w:rPr>
        <w:t xml:space="preserve">, </w:t>
      </w:r>
      <w:r w:rsidR="00DA25F2" w:rsidRPr="0078106A">
        <w:rPr>
          <w:rFonts w:eastAsia="Times New Roman"/>
          <w:color w:val="000000"/>
          <w:sz w:val="24"/>
          <w:szCs w:val="24"/>
        </w:rPr>
        <w:t>UK</w:t>
      </w:r>
    </w:p>
    <w:p w14:paraId="3D47E040" w14:textId="6B6F8EEF" w:rsidR="00D768B9" w:rsidRPr="0078106A" w:rsidRDefault="00D768B9" w:rsidP="000B7E4F">
      <w:pPr>
        <w:pStyle w:val="Paragraph"/>
        <w:ind w:left="360" w:firstLine="0"/>
        <w:rPr>
          <w:lang w:val="en-GB"/>
        </w:rPr>
      </w:pPr>
      <w:r w:rsidRPr="0078106A">
        <w:rPr>
          <w:lang w:val="en-GB"/>
        </w:rPr>
        <w:t xml:space="preserve">*Email: </w:t>
      </w:r>
      <w:r w:rsidR="00DA25F2" w:rsidRPr="0078106A">
        <w:rPr>
          <w:lang w:val="en-GB"/>
        </w:rPr>
        <w:t>wildyr</w:t>
      </w:r>
      <w:r w:rsidRPr="0078106A">
        <w:rPr>
          <w:lang w:val="en-GB"/>
        </w:rPr>
        <w:t>@</w:t>
      </w:r>
      <w:r w:rsidR="00DA25F2" w:rsidRPr="0078106A">
        <w:rPr>
          <w:lang w:val="en-GB"/>
        </w:rPr>
        <w:t>cardiff</w:t>
      </w:r>
      <w:r w:rsidRPr="0078106A">
        <w:rPr>
          <w:lang w:val="en-GB"/>
        </w:rPr>
        <w:t>.</w:t>
      </w:r>
      <w:r w:rsidR="00DA25F2" w:rsidRPr="0078106A">
        <w:rPr>
          <w:lang w:val="en-GB"/>
        </w:rPr>
        <w:t>ac.uk</w:t>
      </w:r>
    </w:p>
    <w:p w14:paraId="2274A5F8" w14:textId="77777777" w:rsidR="00D768B9" w:rsidRPr="0078106A" w:rsidRDefault="00D768B9" w:rsidP="00D73714">
      <w:pPr>
        <w:pStyle w:val="Paragraph"/>
        <w:ind w:firstLine="0"/>
        <w:rPr>
          <w:lang w:val="en-GB"/>
        </w:rPr>
      </w:pPr>
    </w:p>
    <w:p w14:paraId="3722A815" w14:textId="4B197134" w:rsidR="00D73714" w:rsidRPr="0078106A" w:rsidRDefault="00D73714" w:rsidP="00D73714">
      <w:pPr>
        <w:pStyle w:val="AbstractSummary"/>
        <w:rPr>
          <w:lang w:val="en-GB"/>
        </w:rPr>
      </w:pPr>
      <w:r w:rsidRPr="0078106A">
        <w:rPr>
          <w:b/>
          <w:lang w:val="en-GB"/>
        </w:rPr>
        <w:t>Abstract:</w:t>
      </w:r>
      <w:r w:rsidRPr="0078106A">
        <w:rPr>
          <w:lang w:val="en-GB"/>
        </w:rPr>
        <w:t xml:space="preserve"> </w:t>
      </w:r>
      <w:r w:rsidR="00DA25F2" w:rsidRPr="0078106A">
        <w:rPr>
          <w:lang w:val="en-GB"/>
        </w:rPr>
        <w:t xml:space="preserve">Declared as a pandemic by the World Health Organization (WHO) in 2020, the severe acute respiratory syndrome coronavirus 2 (SARS-CoV-2) is a highly </w:t>
      </w:r>
      <w:r w:rsidR="00C96CB3" w:rsidRPr="0078106A">
        <w:rPr>
          <w:lang w:val="en-GB"/>
        </w:rPr>
        <w:t>infectious</w:t>
      </w:r>
      <w:r w:rsidR="00DA25F2" w:rsidRPr="0078106A">
        <w:rPr>
          <w:lang w:val="en-GB"/>
        </w:rPr>
        <w:t xml:space="preserve"> disease. </w:t>
      </w:r>
      <w:r w:rsidR="00DA25F2" w:rsidRPr="0078106A">
        <w:rPr>
          <w:lang w:val="en-GB"/>
        </w:rPr>
        <w:t xml:space="preserve">This report investigates the changes in Caco-2 cells following SARS-CoV-2 infection. RNA sequencing </w:t>
      </w:r>
      <w:r w:rsidR="00C96CB3" w:rsidRPr="0078106A">
        <w:rPr>
          <w:lang w:val="en-GB"/>
        </w:rPr>
        <w:t>data from</w:t>
      </w:r>
      <w:r w:rsidR="00DA25F2" w:rsidRPr="0078106A">
        <w:rPr>
          <w:lang w:val="en-GB"/>
        </w:rPr>
        <w:t xml:space="preserve"> different time points (4h, 12h, 48h) in both infected and mock-treated cells</w:t>
      </w:r>
      <w:r w:rsidR="00C96CB3" w:rsidRPr="0078106A">
        <w:rPr>
          <w:lang w:val="en-GB"/>
        </w:rPr>
        <w:t xml:space="preserve"> </w:t>
      </w:r>
      <w:r w:rsidR="00DE3D03" w:rsidRPr="0078106A">
        <w:rPr>
          <w:lang w:val="en-GB"/>
        </w:rPr>
        <w:t>allow</w:t>
      </w:r>
      <w:r w:rsidR="00C96CB3" w:rsidRPr="0078106A">
        <w:rPr>
          <w:lang w:val="en-GB"/>
        </w:rPr>
        <w:t xml:space="preserve"> us to review gene expression over time</w:t>
      </w:r>
      <w:r w:rsidR="00DA25F2" w:rsidRPr="0078106A">
        <w:rPr>
          <w:lang w:val="en-GB"/>
        </w:rPr>
        <w:t>. Key differentially expressed genes (DEGs) were analysed and visualised through heatmaps and volcano plots</w:t>
      </w:r>
      <w:r w:rsidR="00C96CB3" w:rsidRPr="0078106A">
        <w:rPr>
          <w:lang w:val="en-GB"/>
        </w:rPr>
        <w:t xml:space="preserve"> to outline relative expression differences between the treated and mock samples</w:t>
      </w:r>
      <w:r w:rsidR="00DA25F2" w:rsidRPr="0078106A">
        <w:rPr>
          <w:lang w:val="en-GB"/>
        </w:rPr>
        <w:t xml:space="preserve">. </w:t>
      </w:r>
      <w:r w:rsidR="00DE3D03" w:rsidRPr="0078106A">
        <w:rPr>
          <w:lang w:val="en-GB"/>
        </w:rPr>
        <w:t>Pathway enrichment</w:t>
      </w:r>
      <w:r w:rsidR="00DA25F2" w:rsidRPr="0078106A">
        <w:rPr>
          <w:lang w:val="en-GB"/>
        </w:rPr>
        <w:t xml:space="preserve"> analyses </w:t>
      </w:r>
      <w:r w:rsidR="00C96CB3" w:rsidRPr="0078106A">
        <w:rPr>
          <w:lang w:val="en-GB"/>
        </w:rPr>
        <w:t>prominently featured both hormone and xenobiotic processes</w:t>
      </w:r>
      <w:r w:rsidR="00DA25F2" w:rsidRPr="0078106A">
        <w:rPr>
          <w:lang w:val="en-GB"/>
        </w:rPr>
        <w:t xml:space="preserve">. </w:t>
      </w:r>
      <w:r w:rsidR="00DE3D03" w:rsidRPr="0078106A">
        <w:rPr>
          <w:lang w:val="en-GB"/>
        </w:rPr>
        <w:t>These findings</w:t>
      </w:r>
      <w:r w:rsidR="00DA25F2" w:rsidRPr="0078106A">
        <w:rPr>
          <w:lang w:val="en-GB"/>
        </w:rPr>
        <w:t xml:space="preserve"> provide</w:t>
      </w:r>
      <w:r w:rsidR="00DE3D03" w:rsidRPr="0078106A">
        <w:rPr>
          <w:lang w:val="en-GB"/>
        </w:rPr>
        <w:t xml:space="preserve"> </w:t>
      </w:r>
      <w:r w:rsidR="00DA25F2" w:rsidRPr="0078106A">
        <w:rPr>
          <w:lang w:val="en-GB"/>
        </w:rPr>
        <w:t xml:space="preserve">insights into the dynamics of SARS-CoV-2 </w:t>
      </w:r>
      <w:r w:rsidR="00DE3D03" w:rsidRPr="0078106A">
        <w:rPr>
          <w:lang w:val="en-GB"/>
        </w:rPr>
        <w:t xml:space="preserve">and </w:t>
      </w:r>
      <w:r w:rsidR="0078106A" w:rsidRPr="0078106A">
        <w:rPr>
          <w:lang w:val="en-GB"/>
        </w:rPr>
        <w:t>its</w:t>
      </w:r>
      <w:r w:rsidR="00DE3D03" w:rsidRPr="0078106A">
        <w:rPr>
          <w:lang w:val="en-GB"/>
        </w:rPr>
        <w:t xml:space="preserve"> host cells.</w:t>
      </w:r>
    </w:p>
    <w:p w14:paraId="185AFE10" w14:textId="77777777" w:rsidR="00DE3D03" w:rsidRPr="0078106A" w:rsidRDefault="00DE3D03" w:rsidP="00D73714">
      <w:pPr>
        <w:pStyle w:val="AbstractSummary"/>
        <w:rPr>
          <w:lang w:val="en-GB"/>
        </w:rPr>
      </w:pPr>
    </w:p>
    <w:p w14:paraId="39C666C4" w14:textId="77777777" w:rsidR="009329B4" w:rsidRPr="0078106A" w:rsidRDefault="00F431CC" w:rsidP="00D73714">
      <w:pPr>
        <w:pStyle w:val="AbstractSummary"/>
        <w:rPr>
          <w:b/>
          <w:lang w:val="en-GB"/>
        </w:rPr>
      </w:pPr>
      <w:r w:rsidRPr="0078106A">
        <w:rPr>
          <w:b/>
          <w:lang w:val="en-GB"/>
        </w:rPr>
        <w:t>Introduction</w:t>
      </w:r>
    </w:p>
    <w:p w14:paraId="06A736E8" w14:textId="6F6967F7" w:rsidR="00DE3D03" w:rsidRPr="0078106A" w:rsidRDefault="00481EC7" w:rsidP="00D73714">
      <w:pPr>
        <w:pStyle w:val="AbstractSummary"/>
        <w:rPr>
          <w:bCs/>
          <w:lang w:val="en-GB"/>
        </w:rPr>
      </w:pPr>
      <w:r w:rsidRPr="0078106A">
        <w:rPr>
          <w:bCs/>
          <w:lang w:val="en-GB"/>
        </w:rPr>
        <w:t>The severe acute respiratory syndrome-coronavirus-2 (SARS-CoV-2) is a highly transmissible and often lethal coronavirus</w:t>
      </w:r>
      <w:r w:rsidR="00113C42" w:rsidRPr="0078106A">
        <w:rPr>
          <w:bCs/>
          <w:lang w:val="en-GB"/>
        </w:rPr>
        <w:t>, responsible for the spread of coronavirus disease 2019 (COVID-19)</w:t>
      </w:r>
      <w:r w:rsidRPr="0078106A">
        <w:rPr>
          <w:bCs/>
          <w:lang w:val="en-GB"/>
        </w:rPr>
        <w:t xml:space="preserve">. </w:t>
      </w:r>
      <w:r w:rsidR="00113C42" w:rsidRPr="0078106A">
        <w:rPr>
          <w:bCs/>
          <w:lang w:val="en-GB"/>
        </w:rPr>
        <w:t>It</w:t>
      </w:r>
      <w:r w:rsidRPr="0078106A">
        <w:rPr>
          <w:bCs/>
          <w:lang w:val="en-GB"/>
        </w:rPr>
        <w:t xml:space="preserve"> surfaced in late 2019 </w:t>
      </w:r>
      <w:r w:rsidR="00113C42" w:rsidRPr="0078106A">
        <w:rPr>
          <w:bCs/>
          <w:lang w:val="en-GB"/>
        </w:rPr>
        <w:t>and was declared a pandemic by the World Health Organisation (WHO) in March 2020. The pandemic has had significant health, economic and social effects worldwide, and despite vaccination and treatment efforts, the virus continues to be disruptive. Continual surveillance and treatment are required.</w:t>
      </w:r>
    </w:p>
    <w:p w14:paraId="7BFCAD00" w14:textId="216AF710" w:rsidR="00113C42" w:rsidRDefault="00113C42" w:rsidP="00D73714">
      <w:pPr>
        <w:pStyle w:val="AbstractSummary"/>
        <w:rPr>
          <w:bCs/>
          <w:lang w:val="en-GB"/>
        </w:rPr>
      </w:pPr>
      <w:r w:rsidRPr="0078106A">
        <w:rPr>
          <w:bCs/>
          <w:lang w:val="en-GB"/>
        </w:rPr>
        <w:t>This report will interrogate transcriptional response to SARS-CoV-2 infection</w:t>
      </w:r>
      <w:r w:rsidR="009329B4" w:rsidRPr="0078106A">
        <w:rPr>
          <w:bCs/>
          <w:lang w:val="en-GB"/>
        </w:rPr>
        <w:t>.</w:t>
      </w:r>
      <w:r w:rsidR="00EC3E4C">
        <w:rPr>
          <w:bCs/>
          <w:lang w:val="en-GB"/>
        </w:rPr>
        <w:t xml:space="preserve"> The data included gene expression levels from RNA-</w:t>
      </w:r>
      <w:proofErr w:type="spellStart"/>
      <w:r w:rsidR="00EC3E4C">
        <w:rPr>
          <w:bCs/>
          <w:lang w:val="en-GB"/>
        </w:rPr>
        <w:t>seq</w:t>
      </w:r>
      <w:proofErr w:type="spellEnd"/>
      <w:r w:rsidR="00EC3E4C">
        <w:rPr>
          <w:bCs/>
          <w:lang w:val="en-GB"/>
        </w:rPr>
        <w:t xml:space="preserve"> experiments </w:t>
      </w:r>
      <w:r w:rsidR="005D199B">
        <w:rPr>
          <w:bCs/>
          <w:lang w:val="en-GB"/>
        </w:rPr>
        <w:t xml:space="preserve">with Caco-2 cells </w:t>
      </w:r>
      <w:r w:rsidR="00EC3E4C">
        <w:rPr>
          <w:bCs/>
          <w:lang w:val="en-GB"/>
        </w:rPr>
        <w:t>across multiple time points (4, 12 and 48 hours) for both infected and mock-treated samples. Differential gene expression was performed using DESeq2, followed by pathway enrichment analysis of the differentially expressed genes (DEGs) using Gene Ontology (GO</w:t>
      </w:r>
      <w:r w:rsidR="00F16BF5">
        <w:rPr>
          <w:bCs/>
          <w:lang w:val="en-GB"/>
        </w:rPr>
        <w:t>)</w:t>
      </w:r>
      <w:r w:rsidR="00EC3E4C">
        <w:rPr>
          <w:bCs/>
          <w:lang w:val="en-GB"/>
        </w:rPr>
        <w:t xml:space="preserve"> pathways.</w:t>
      </w:r>
    </w:p>
    <w:p w14:paraId="23F0EEFF" w14:textId="2247C3F0" w:rsidR="00CA5F9D" w:rsidRPr="0078106A" w:rsidRDefault="00CA5F9D" w:rsidP="00D73714">
      <w:pPr>
        <w:pStyle w:val="AbstractSummary"/>
        <w:rPr>
          <w:bCs/>
          <w:lang w:val="en-GB"/>
        </w:rPr>
      </w:pPr>
      <w:r>
        <w:rPr>
          <w:bCs/>
          <w:lang w:val="en-GB"/>
        </w:rPr>
        <w:t xml:space="preserve">One of the key discoveries was </w:t>
      </w:r>
      <w:r w:rsidR="00BB0A6E">
        <w:rPr>
          <w:bCs/>
          <w:lang w:val="en-GB"/>
        </w:rPr>
        <w:t>the down</w:t>
      </w:r>
      <w:r w:rsidR="002350BA">
        <w:rPr>
          <w:bCs/>
          <w:lang w:val="en-GB"/>
        </w:rPr>
        <w:t>-</w:t>
      </w:r>
      <w:r w:rsidR="00BB0A6E">
        <w:rPr>
          <w:bCs/>
          <w:lang w:val="en-GB"/>
        </w:rPr>
        <w:t>regulated expression of the ACE2 gene that has been identified as the receptor for entry into host cells [1].</w:t>
      </w:r>
      <w:r w:rsidR="00EA546A">
        <w:rPr>
          <w:bCs/>
          <w:lang w:val="en-GB"/>
        </w:rPr>
        <w:t xml:space="preserve"> Pathway analysis identified significant alterations to metabolic processes. This is likely the virus mutating the host cell to avoid immunity [2].</w:t>
      </w:r>
    </w:p>
    <w:p w14:paraId="11DB5EE9" w14:textId="77777777" w:rsidR="009329B4" w:rsidRPr="0078106A" w:rsidRDefault="009329B4" w:rsidP="00D73714">
      <w:pPr>
        <w:pStyle w:val="AbstractSummary"/>
        <w:rPr>
          <w:bCs/>
          <w:lang w:val="en-GB"/>
        </w:rPr>
      </w:pPr>
    </w:p>
    <w:p w14:paraId="4FD00F18" w14:textId="70BDE4D5" w:rsidR="009329B4" w:rsidRPr="0078106A" w:rsidRDefault="009329B4" w:rsidP="00D73714">
      <w:pPr>
        <w:pStyle w:val="AbstractSummary"/>
        <w:rPr>
          <w:b/>
          <w:lang w:val="en-GB"/>
        </w:rPr>
      </w:pPr>
      <w:r w:rsidRPr="0078106A">
        <w:rPr>
          <w:b/>
          <w:lang w:val="en-GB"/>
        </w:rPr>
        <w:t>Results</w:t>
      </w:r>
    </w:p>
    <w:p w14:paraId="0C1862C1" w14:textId="3B2F7196" w:rsidR="00F60A03" w:rsidRDefault="00AA5B91" w:rsidP="00D73714">
      <w:pPr>
        <w:pStyle w:val="AbstractSummary"/>
        <w:rPr>
          <w:bCs/>
          <w:lang w:val="en-GB"/>
        </w:rPr>
      </w:pPr>
      <w:r>
        <w:rPr>
          <w:bCs/>
          <w:lang w:val="en-GB"/>
        </w:rPr>
        <w:t>Analysis was done using DESeq2</w:t>
      </w:r>
      <w:r w:rsidR="00F60A03">
        <w:rPr>
          <w:bCs/>
          <w:lang w:val="en-GB"/>
        </w:rPr>
        <w:t xml:space="preserve"> for differential gene expression</w:t>
      </w:r>
      <w:r>
        <w:rPr>
          <w:bCs/>
          <w:lang w:val="en-GB"/>
        </w:rPr>
        <w:t xml:space="preserve"> and </w:t>
      </w:r>
      <w:proofErr w:type="spellStart"/>
      <w:r>
        <w:rPr>
          <w:bCs/>
          <w:lang w:val="en-GB"/>
        </w:rPr>
        <w:t>clusterProfiler</w:t>
      </w:r>
      <w:proofErr w:type="spellEnd"/>
      <w:r>
        <w:rPr>
          <w:bCs/>
          <w:lang w:val="en-GB"/>
        </w:rPr>
        <w:t xml:space="preserve"> </w:t>
      </w:r>
      <w:r w:rsidR="00F60A03">
        <w:rPr>
          <w:bCs/>
          <w:lang w:val="en-GB"/>
        </w:rPr>
        <w:t xml:space="preserve">for pathway enrichment </w:t>
      </w:r>
      <w:r>
        <w:rPr>
          <w:bCs/>
          <w:lang w:val="en-GB"/>
        </w:rPr>
        <w:t xml:space="preserve">in RStudio. </w:t>
      </w:r>
      <w:proofErr w:type="spellStart"/>
      <w:r>
        <w:rPr>
          <w:bCs/>
          <w:lang w:val="en-GB"/>
        </w:rPr>
        <w:t>DESeq</w:t>
      </w:r>
      <w:proofErr w:type="spellEnd"/>
      <w:r w:rsidR="00F60A03">
        <w:rPr>
          <w:bCs/>
          <w:lang w:val="en-GB"/>
        </w:rPr>
        <w:t xml:space="preserve"> was performed on the entire dataset for the purposes of the distance heatmap, clustering and PCA analysis. It was then performed on each timepoint </w:t>
      </w:r>
      <w:r w:rsidR="00F60A03">
        <w:rPr>
          <w:bCs/>
          <w:lang w:val="en-GB"/>
        </w:rPr>
        <w:lastRenderedPageBreak/>
        <w:t>separately for the purposes of the volcano plots. Enrichment analysis was performed on up</w:t>
      </w:r>
      <w:r w:rsidR="002350BA">
        <w:rPr>
          <w:bCs/>
          <w:lang w:val="en-GB"/>
        </w:rPr>
        <w:t>-</w:t>
      </w:r>
      <w:r w:rsidR="00F60A03">
        <w:rPr>
          <w:bCs/>
          <w:lang w:val="en-GB"/>
        </w:rPr>
        <w:t>regulated and down</w:t>
      </w:r>
      <w:r w:rsidR="002350BA">
        <w:rPr>
          <w:bCs/>
          <w:lang w:val="en-GB"/>
        </w:rPr>
        <w:t>-</w:t>
      </w:r>
      <w:r w:rsidR="00F60A03">
        <w:rPr>
          <w:bCs/>
          <w:lang w:val="en-GB"/>
        </w:rPr>
        <w:t>regulated genes.</w:t>
      </w:r>
    </w:p>
    <w:p w14:paraId="0F578A6E" w14:textId="7D24E816" w:rsidR="002E41A5" w:rsidRDefault="005D199B" w:rsidP="00D73714">
      <w:pPr>
        <w:pStyle w:val="AbstractSummary"/>
        <w:rPr>
          <w:bCs/>
          <w:lang w:val="en-GB"/>
        </w:rPr>
      </w:pPr>
      <w:r>
        <w:rPr>
          <w:bCs/>
          <w:lang w:val="en-GB"/>
        </w:rPr>
        <w:t xml:space="preserve">Differential expression analysis identified a total of 482, 1112 and 871 DEGs in our </w:t>
      </w:r>
      <w:r w:rsidR="00BB0A6E">
        <w:rPr>
          <w:bCs/>
          <w:lang w:val="en-GB"/>
        </w:rPr>
        <w:t>4-, 12- and 48-hour</w:t>
      </w:r>
      <w:r>
        <w:rPr>
          <w:bCs/>
          <w:lang w:val="en-GB"/>
        </w:rPr>
        <w:t xml:space="preserve"> samples, respectively. </w:t>
      </w:r>
      <w:r w:rsidR="00F261E0" w:rsidRPr="0078106A">
        <w:rPr>
          <w:bCs/>
          <w:lang w:val="en-GB"/>
        </w:rPr>
        <w:t xml:space="preserve">The results show stark differences in gene expression </w:t>
      </w:r>
      <w:r w:rsidR="00B21AF8" w:rsidRPr="0078106A">
        <w:rPr>
          <w:bCs/>
          <w:lang w:val="en-GB"/>
        </w:rPr>
        <w:t>from</w:t>
      </w:r>
      <w:r w:rsidR="00F261E0" w:rsidRPr="0078106A">
        <w:rPr>
          <w:bCs/>
          <w:lang w:val="en-GB"/>
        </w:rPr>
        <w:t xml:space="preserve"> the first 4 and 12 hours since </w:t>
      </w:r>
      <w:r w:rsidR="00B21AF8" w:rsidRPr="0078106A">
        <w:rPr>
          <w:bCs/>
          <w:lang w:val="en-GB"/>
        </w:rPr>
        <w:t>infection</w:t>
      </w:r>
      <w:r w:rsidR="00F261E0" w:rsidRPr="0078106A">
        <w:rPr>
          <w:bCs/>
          <w:lang w:val="en-GB"/>
        </w:rPr>
        <w:t xml:space="preserve"> </w:t>
      </w:r>
      <w:r w:rsidR="00B21AF8" w:rsidRPr="0078106A">
        <w:rPr>
          <w:bCs/>
          <w:lang w:val="en-GB"/>
        </w:rPr>
        <w:t>and those exhibited at</w:t>
      </w:r>
      <w:r w:rsidR="00F261E0" w:rsidRPr="0078106A">
        <w:rPr>
          <w:bCs/>
          <w:lang w:val="en-GB"/>
        </w:rPr>
        <w:t xml:space="preserve"> 48 hours.</w:t>
      </w:r>
    </w:p>
    <w:p w14:paraId="7B559644" w14:textId="08AAC1DF" w:rsidR="00AA5B91" w:rsidRDefault="00AA5B91" w:rsidP="00AA5B91">
      <w:pPr>
        <w:pStyle w:val="AbstractSummary"/>
        <w:rPr>
          <w:bCs/>
          <w:lang w:val="en-GB"/>
        </w:rPr>
      </w:pPr>
      <w:r w:rsidRPr="0078106A">
        <w:rPr>
          <w:bCs/>
          <w:lang w:val="en-GB"/>
        </w:rPr>
        <w:t>The heatmap</w:t>
      </w:r>
      <w:r>
        <w:rPr>
          <w:bCs/>
          <w:lang w:val="en-GB"/>
        </w:rPr>
        <w:t xml:space="preserve"> (</w:t>
      </w:r>
      <w:r w:rsidRPr="0078106A">
        <w:rPr>
          <w:bCs/>
          <w:lang w:val="en-GB"/>
        </w:rPr>
        <w:t>Fig.1</w:t>
      </w:r>
      <w:r>
        <w:rPr>
          <w:bCs/>
          <w:lang w:val="en-GB"/>
        </w:rPr>
        <w:t>)</w:t>
      </w:r>
      <w:r w:rsidRPr="0078106A">
        <w:rPr>
          <w:bCs/>
          <w:lang w:val="en-GB"/>
        </w:rPr>
        <w:t xml:space="preserve"> shows tightly clustered gene expression at the 48-hour</w:t>
      </w:r>
      <w:r>
        <w:rPr>
          <w:bCs/>
          <w:lang w:val="en-GB"/>
        </w:rPr>
        <w:t xml:space="preserve"> time point, whilst the 4- and 12-hour time points show much greater variability in gene expression</w:t>
      </w:r>
      <w:r w:rsidRPr="0078106A">
        <w:rPr>
          <w:bCs/>
          <w:lang w:val="en-GB"/>
        </w:rPr>
        <w:t>. It also shows high similarity between mock samples regardless of hours, which is to be expect</w:t>
      </w:r>
      <w:r>
        <w:rPr>
          <w:bCs/>
          <w:lang w:val="en-GB"/>
        </w:rPr>
        <w:t>ed</w:t>
      </w:r>
      <w:r w:rsidRPr="0078106A">
        <w:rPr>
          <w:bCs/>
          <w:lang w:val="en-GB"/>
        </w:rPr>
        <w:t xml:space="preserve"> for our mock</w:t>
      </w:r>
      <w:r>
        <w:rPr>
          <w:bCs/>
          <w:lang w:val="en-GB"/>
        </w:rPr>
        <w:t xml:space="preserve"> data</w:t>
      </w:r>
      <w:r w:rsidRPr="0078106A">
        <w:rPr>
          <w:bCs/>
          <w:lang w:val="en-GB"/>
        </w:rPr>
        <w:t>.</w:t>
      </w:r>
      <w:r>
        <w:rPr>
          <w:bCs/>
          <w:lang w:val="en-GB"/>
        </w:rPr>
        <w:t xml:space="preserve"> The infected 4-hour s</w:t>
      </w:r>
      <w:r w:rsidRPr="0078106A">
        <w:rPr>
          <w:bCs/>
          <w:lang w:val="en-GB"/>
        </w:rPr>
        <w:t>ample SKA03_19 shows higher similarity with our mock data</w:t>
      </w:r>
      <w:r>
        <w:rPr>
          <w:bCs/>
          <w:lang w:val="en-GB"/>
        </w:rPr>
        <w:t xml:space="preserve"> </w:t>
      </w:r>
      <w:r w:rsidRPr="0078106A">
        <w:rPr>
          <w:bCs/>
          <w:lang w:val="en-GB"/>
        </w:rPr>
        <w:t>than it does with</w:t>
      </w:r>
      <w:r>
        <w:rPr>
          <w:bCs/>
          <w:lang w:val="en-GB"/>
        </w:rPr>
        <w:t xml:space="preserve"> other infected samples</w:t>
      </w:r>
      <w:r w:rsidRPr="0078106A">
        <w:rPr>
          <w:bCs/>
          <w:lang w:val="en-GB"/>
        </w:rPr>
        <w:t>.</w:t>
      </w:r>
    </w:p>
    <w:p w14:paraId="4C051DD0" w14:textId="6609E051" w:rsidR="00AA5B91" w:rsidRDefault="00AA5B91" w:rsidP="00D73714">
      <w:pPr>
        <w:pStyle w:val="AbstractSummary"/>
        <w:rPr>
          <w:bCs/>
          <w:lang w:val="en-GB"/>
        </w:rPr>
      </w:pPr>
      <w:r>
        <w:rPr>
          <w:bCs/>
          <w:lang w:val="en-GB"/>
        </w:rPr>
        <w:t>Fig.2 shows this grouping at a higher level. All the mock samples are consistent and highly grouped, along with the infected 48-hour samples. The infected 4- and 12-hour samples are much more spread. There is further support for this in additional plots in supplementary materials.</w:t>
      </w:r>
    </w:p>
    <w:p w14:paraId="5D2DED63" w14:textId="77777777" w:rsidR="002E41A5" w:rsidRPr="0078106A" w:rsidRDefault="002E41A5" w:rsidP="00D73714">
      <w:pPr>
        <w:pStyle w:val="AbstractSummary"/>
        <w:rPr>
          <w:bCs/>
          <w:lang w:val="en-GB"/>
        </w:rPr>
      </w:pPr>
    </w:p>
    <w:p w14:paraId="7B243592" w14:textId="18533BA3" w:rsidR="00F261E0" w:rsidRPr="0078106A" w:rsidRDefault="00F261E0" w:rsidP="00F261E0">
      <w:pPr>
        <w:pStyle w:val="AbstractSummary"/>
        <w:rPr>
          <w:bCs/>
          <w:lang w:val="en-GB"/>
        </w:rPr>
      </w:pPr>
      <w:r w:rsidRPr="0078106A">
        <w:rPr>
          <w:bCs/>
          <w:lang w:val="en-GB"/>
        </w:rPr>
        <w:drawing>
          <wp:inline distT="0" distB="0" distL="0" distR="0" wp14:anchorId="4721EA3E" wp14:editId="7860B899">
            <wp:extent cx="5943600" cy="3975100"/>
            <wp:effectExtent l="0" t="0" r="0" b="6350"/>
            <wp:docPr id="348151456" name="Picture 2"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1456" name="Picture 2" descr="A chart with different colored squar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27EDFFD2" w14:textId="7752EAA2" w:rsidR="00F261E0" w:rsidRDefault="00F261E0" w:rsidP="00F261E0">
      <w:pPr>
        <w:pStyle w:val="AbstractSummary"/>
        <w:rPr>
          <w:bCs/>
          <w:lang w:val="en-GB"/>
        </w:rPr>
      </w:pPr>
      <w:r w:rsidRPr="0078106A">
        <w:rPr>
          <w:b/>
          <w:lang w:val="en-GB"/>
        </w:rPr>
        <w:t xml:space="preserve">Fig. 1. Heatmap of Sample-to-Sample Distances. </w:t>
      </w:r>
      <w:r w:rsidRPr="0078106A">
        <w:rPr>
          <w:bCs/>
          <w:lang w:val="en-GB"/>
        </w:rPr>
        <w:t>This heatmap illustrates</w:t>
      </w:r>
      <w:r w:rsidR="00B21AF8" w:rsidRPr="0078106A">
        <w:rPr>
          <w:bCs/>
          <w:lang w:val="en-GB"/>
        </w:rPr>
        <w:t xml:space="preserve"> the distance between samples based on their gene expression profiles. Samples are grouped by hierarchical clustering, with the dendrogram and heatmap sha</w:t>
      </w:r>
      <w:r w:rsidR="0078106A" w:rsidRPr="0078106A">
        <w:rPr>
          <w:bCs/>
          <w:lang w:val="en-GB"/>
        </w:rPr>
        <w:t>d</w:t>
      </w:r>
      <w:r w:rsidR="00B21AF8" w:rsidRPr="0078106A">
        <w:rPr>
          <w:bCs/>
          <w:lang w:val="en-GB"/>
        </w:rPr>
        <w:t>ing highlighting similarity. There are colour bars at the top to indicate sample groups by both time point (Hours) and treatment (Infected or Mock).</w:t>
      </w:r>
    </w:p>
    <w:p w14:paraId="70F97266" w14:textId="77777777" w:rsidR="002E41A5" w:rsidRPr="00F261E0" w:rsidRDefault="002E41A5" w:rsidP="00F261E0">
      <w:pPr>
        <w:pStyle w:val="AbstractSummary"/>
        <w:rPr>
          <w:bCs/>
          <w:lang w:val="en-GB"/>
        </w:rPr>
      </w:pPr>
    </w:p>
    <w:p w14:paraId="6051ED9D" w14:textId="22B93012" w:rsidR="0078106A" w:rsidRPr="0078106A" w:rsidRDefault="0078106A" w:rsidP="0078106A">
      <w:pPr>
        <w:pStyle w:val="AbstractSummary"/>
        <w:rPr>
          <w:bCs/>
          <w:lang w:val="en-GB"/>
        </w:rPr>
      </w:pPr>
      <w:r w:rsidRPr="0078106A">
        <w:rPr>
          <w:bCs/>
          <w:lang w:val="en-GB"/>
        </w:rPr>
        <w:lastRenderedPageBreak/>
        <w:drawing>
          <wp:inline distT="0" distB="0" distL="0" distR="0" wp14:anchorId="33D07CD6" wp14:editId="33C3E27B">
            <wp:extent cx="5943600" cy="3638550"/>
            <wp:effectExtent l="0" t="0" r="0" b="0"/>
            <wp:docPr id="1478255463" name="Picture 4"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55463" name="Picture 4" descr="A graph with different colored dot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noFill/>
                    </a:ln>
                  </pic:spPr>
                </pic:pic>
              </a:graphicData>
            </a:graphic>
          </wp:inline>
        </w:drawing>
      </w:r>
    </w:p>
    <w:p w14:paraId="136A4F6F" w14:textId="4D61A654" w:rsidR="0078106A" w:rsidRDefault="0078106A" w:rsidP="00D73714">
      <w:pPr>
        <w:pStyle w:val="AbstractSummary"/>
        <w:rPr>
          <w:bCs/>
          <w:lang w:val="en-GB"/>
        </w:rPr>
      </w:pPr>
      <w:r w:rsidRPr="0078106A">
        <w:rPr>
          <w:b/>
          <w:lang w:val="en-GB"/>
        </w:rPr>
        <w:t>Fig. 2. Principle Component Analysis (PCA).</w:t>
      </w:r>
      <w:r w:rsidRPr="0078106A">
        <w:rPr>
          <w:bCs/>
          <w:lang w:val="en-GB"/>
        </w:rPr>
        <w:t xml:space="preserve"> This PCA plot was generated using a variance stabilizing transformation, defaulted to 1000 genes. It depicts our samples, colour-coded based on </w:t>
      </w:r>
      <w:r>
        <w:rPr>
          <w:bCs/>
          <w:lang w:val="en-GB"/>
        </w:rPr>
        <w:t>their time point and treatment status. Mock samples are well clustered at every time point. Infected samples are only well clustered at the 48 hour time point.</w:t>
      </w:r>
    </w:p>
    <w:p w14:paraId="175BFB65" w14:textId="77777777" w:rsidR="002E41A5" w:rsidRPr="0078106A" w:rsidRDefault="002E41A5" w:rsidP="00D73714">
      <w:pPr>
        <w:pStyle w:val="AbstractSummary"/>
        <w:rPr>
          <w:bCs/>
          <w:lang w:val="en-GB"/>
        </w:rPr>
      </w:pPr>
    </w:p>
    <w:p w14:paraId="32D602A8" w14:textId="0826168F" w:rsidR="00E64FA3" w:rsidRPr="00E64FA3" w:rsidRDefault="00E64FA3" w:rsidP="00E64FA3">
      <w:pPr>
        <w:pStyle w:val="AbstractSummary"/>
        <w:rPr>
          <w:b/>
        </w:rPr>
      </w:pPr>
      <w:r w:rsidRPr="00E64FA3">
        <w:rPr>
          <w:b/>
        </w:rPr>
        <w:drawing>
          <wp:inline distT="0" distB="0" distL="0" distR="0" wp14:anchorId="5BD26E15" wp14:editId="3A996553">
            <wp:extent cx="5943600" cy="3423920"/>
            <wp:effectExtent l="0" t="0" r="0" b="5080"/>
            <wp:docPr id="417973705" name="Picture 12" descr="A graph of a viru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73705" name="Picture 12" descr="A graph of a viru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23920"/>
                    </a:xfrm>
                    <a:prstGeom prst="rect">
                      <a:avLst/>
                    </a:prstGeom>
                    <a:noFill/>
                    <a:ln>
                      <a:noFill/>
                    </a:ln>
                  </pic:spPr>
                </pic:pic>
              </a:graphicData>
            </a:graphic>
          </wp:inline>
        </w:drawing>
      </w:r>
    </w:p>
    <w:p w14:paraId="104BEA58" w14:textId="4DB05741" w:rsidR="00A502AA" w:rsidRDefault="00E64FA3" w:rsidP="00D73714">
      <w:pPr>
        <w:pStyle w:val="AbstractSummary"/>
        <w:rPr>
          <w:bCs/>
          <w:lang w:val="en-GB"/>
        </w:rPr>
      </w:pPr>
      <w:r>
        <w:rPr>
          <w:b/>
          <w:lang w:val="en-GB"/>
        </w:rPr>
        <w:lastRenderedPageBreak/>
        <w:t xml:space="preserve">Fig. 3. Volcano plot of infected cells compared to mock at time points 4-, 12- and 48-hour intervals. </w:t>
      </w:r>
      <w:r>
        <w:rPr>
          <w:bCs/>
          <w:lang w:val="en-GB"/>
        </w:rPr>
        <w:t xml:space="preserve">Gene expression of the infected cells in comparison to the mock samples at the same time points. Coloured points are deemed statistically significant with a threshold of </w:t>
      </w:r>
      <w:proofErr w:type="spellStart"/>
      <w:r w:rsidR="00AA5B91">
        <w:rPr>
          <w:bCs/>
          <w:lang w:val="en-GB"/>
        </w:rPr>
        <w:t>padj</w:t>
      </w:r>
      <w:proofErr w:type="spellEnd"/>
      <w:r w:rsidR="00AA5B91">
        <w:rPr>
          <w:bCs/>
          <w:lang w:val="en-GB"/>
        </w:rPr>
        <w:t xml:space="preserve"> value &lt;0.05 and log fold change </w:t>
      </w:r>
      <w:r w:rsidR="00F16BF5">
        <w:rPr>
          <w:bCs/>
          <w:lang w:val="en-GB"/>
        </w:rPr>
        <w:t>of  &gt;</w:t>
      </w:r>
      <w:r w:rsidR="00AA5B91">
        <w:rPr>
          <w:bCs/>
          <w:lang w:val="en-GB"/>
        </w:rPr>
        <w:t>1</w:t>
      </w:r>
      <w:r>
        <w:rPr>
          <w:bCs/>
          <w:lang w:val="en-GB"/>
        </w:rPr>
        <w:t>.</w:t>
      </w:r>
      <w:r w:rsidR="00AA5B91">
        <w:rPr>
          <w:bCs/>
          <w:lang w:val="en-GB"/>
        </w:rPr>
        <w:t xml:space="preserve"> Blue and red depict down and up</w:t>
      </w:r>
      <w:r w:rsidR="002350BA">
        <w:rPr>
          <w:bCs/>
          <w:lang w:val="en-GB"/>
        </w:rPr>
        <w:t>-</w:t>
      </w:r>
      <w:r w:rsidR="00AA5B91">
        <w:rPr>
          <w:bCs/>
          <w:lang w:val="en-GB"/>
        </w:rPr>
        <w:t>regulated genes respectively, with the most significant labelled explicitly.</w:t>
      </w:r>
      <w:r>
        <w:rPr>
          <w:bCs/>
          <w:lang w:val="en-GB"/>
        </w:rPr>
        <w:t xml:space="preserve"> The scale varies between images.</w:t>
      </w:r>
    </w:p>
    <w:p w14:paraId="054374C0" w14:textId="77777777" w:rsidR="002E41A5" w:rsidRPr="002E41A5" w:rsidRDefault="002E41A5" w:rsidP="00D73714">
      <w:pPr>
        <w:pStyle w:val="AbstractSummary"/>
        <w:rPr>
          <w:bCs/>
          <w:lang w:val="en-GB"/>
        </w:rPr>
      </w:pPr>
    </w:p>
    <w:p w14:paraId="143E8AF2" w14:textId="6D1422C3" w:rsidR="00AA5B91" w:rsidRDefault="00AA5B91" w:rsidP="00D73714">
      <w:pPr>
        <w:pStyle w:val="AbstractSummary"/>
        <w:rPr>
          <w:bCs/>
          <w:lang w:val="en-GB"/>
        </w:rPr>
      </w:pPr>
      <w:r>
        <w:rPr>
          <w:bCs/>
          <w:lang w:val="en-GB"/>
        </w:rPr>
        <w:t>The ACE2 gene is highly down</w:t>
      </w:r>
      <w:r w:rsidR="002350BA">
        <w:rPr>
          <w:bCs/>
          <w:lang w:val="en-GB"/>
        </w:rPr>
        <w:t>-</w:t>
      </w:r>
      <w:r>
        <w:rPr>
          <w:bCs/>
          <w:lang w:val="en-GB"/>
        </w:rPr>
        <w:t xml:space="preserve">regulated in the </w:t>
      </w:r>
      <w:r w:rsidR="00F60A03">
        <w:rPr>
          <w:bCs/>
          <w:lang w:val="en-GB"/>
        </w:rPr>
        <w:t xml:space="preserve">4- and 12-hour </w:t>
      </w:r>
      <w:r>
        <w:rPr>
          <w:bCs/>
          <w:lang w:val="en-GB"/>
        </w:rPr>
        <w:t>stages of infection (Fig.3), and then does not significantly appear in our 48-hour data.</w:t>
      </w:r>
      <w:r w:rsidR="00F60A03">
        <w:rPr>
          <w:bCs/>
          <w:lang w:val="en-GB"/>
        </w:rPr>
        <w:t xml:space="preserve"> Whilst we saw that both infected and mock 48-hour samples were similar</w:t>
      </w:r>
      <w:r w:rsidR="004522CB">
        <w:rPr>
          <w:bCs/>
          <w:lang w:val="en-GB"/>
        </w:rPr>
        <w:t xml:space="preserve"> in Fig.1 and Fig.2 we can see that there </w:t>
      </w:r>
      <w:r w:rsidR="00F16BF5">
        <w:rPr>
          <w:bCs/>
          <w:lang w:val="en-GB"/>
        </w:rPr>
        <w:t>are</w:t>
      </w:r>
      <w:r w:rsidR="004522CB">
        <w:rPr>
          <w:bCs/>
          <w:lang w:val="en-GB"/>
        </w:rPr>
        <w:t xml:space="preserve"> still substantial differences between them.</w:t>
      </w:r>
    </w:p>
    <w:p w14:paraId="710A9AE6" w14:textId="029DB1D0" w:rsidR="004522CB" w:rsidRDefault="004522CB" w:rsidP="00D73714">
      <w:pPr>
        <w:pStyle w:val="AbstractSummary"/>
        <w:rPr>
          <w:bCs/>
          <w:lang w:val="en-GB"/>
        </w:rPr>
      </w:pPr>
      <w:r>
        <w:rPr>
          <w:bCs/>
          <w:lang w:val="en-GB"/>
        </w:rPr>
        <w:t>In pathway enrichment analysis</w:t>
      </w:r>
      <w:r w:rsidR="002350BA">
        <w:rPr>
          <w:bCs/>
          <w:lang w:val="en-GB"/>
        </w:rPr>
        <w:t xml:space="preserve"> no up-regulated pathways were found. The down-regulated pathways discovered related primarily to metabolic processes</w:t>
      </w:r>
      <w:r w:rsidR="0024634E">
        <w:rPr>
          <w:bCs/>
          <w:lang w:val="en-GB"/>
        </w:rPr>
        <w:t xml:space="preserve"> (Fig.4)</w:t>
      </w:r>
      <w:r w:rsidR="00F16BF5">
        <w:rPr>
          <w:bCs/>
          <w:lang w:val="en-GB"/>
        </w:rPr>
        <w:t>.</w:t>
      </w:r>
    </w:p>
    <w:p w14:paraId="0909F655" w14:textId="77777777" w:rsidR="002E41A5" w:rsidRDefault="002E41A5" w:rsidP="00D73714">
      <w:pPr>
        <w:pStyle w:val="AbstractSummary"/>
        <w:rPr>
          <w:bCs/>
          <w:lang w:val="en-GB"/>
        </w:rPr>
      </w:pPr>
    </w:p>
    <w:p w14:paraId="10A2BE66" w14:textId="2F6058F7" w:rsidR="0024634E" w:rsidRPr="0024634E" w:rsidRDefault="0024634E" w:rsidP="0024634E">
      <w:pPr>
        <w:pStyle w:val="AbstractSummary"/>
        <w:rPr>
          <w:bCs/>
          <w:lang w:val="en-GB"/>
        </w:rPr>
      </w:pPr>
      <w:r w:rsidRPr="0024634E">
        <w:rPr>
          <w:bCs/>
          <w:lang w:val="en-GB"/>
        </w:rPr>
        <w:drawing>
          <wp:inline distT="0" distB="0" distL="0" distR="0" wp14:anchorId="6D2DC9C7" wp14:editId="390BCF08">
            <wp:extent cx="5943600" cy="5283200"/>
            <wp:effectExtent l="0" t="0" r="0" b="9525"/>
            <wp:docPr id="1482602771" name="Picture 16"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02771" name="Picture 16" descr="A screenshot of a data analysi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83200"/>
                    </a:xfrm>
                    <a:prstGeom prst="rect">
                      <a:avLst/>
                    </a:prstGeom>
                    <a:noFill/>
                    <a:ln>
                      <a:noFill/>
                    </a:ln>
                  </pic:spPr>
                </pic:pic>
              </a:graphicData>
            </a:graphic>
          </wp:inline>
        </w:drawing>
      </w:r>
    </w:p>
    <w:p w14:paraId="4A89C74F" w14:textId="4CF5417C" w:rsidR="0024634E" w:rsidRPr="0024634E" w:rsidRDefault="0024634E" w:rsidP="00D73714">
      <w:pPr>
        <w:pStyle w:val="AbstractSummary"/>
        <w:rPr>
          <w:b/>
          <w:lang w:val="en-GB"/>
        </w:rPr>
      </w:pPr>
      <w:r>
        <w:rPr>
          <w:b/>
          <w:lang w:val="en-GB"/>
        </w:rPr>
        <w:lastRenderedPageBreak/>
        <w:t xml:space="preserve">Fig. 4. Top 10 down-regulated pathways ordered by </w:t>
      </w:r>
      <w:proofErr w:type="spellStart"/>
      <w:r>
        <w:rPr>
          <w:b/>
          <w:lang w:val="en-GB"/>
        </w:rPr>
        <w:t>p.adjust</w:t>
      </w:r>
      <w:proofErr w:type="spellEnd"/>
      <w:r>
        <w:rPr>
          <w:b/>
          <w:lang w:val="en-GB"/>
        </w:rPr>
        <w:t xml:space="preserve"> values (top left), a </w:t>
      </w:r>
      <w:proofErr w:type="spellStart"/>
      <w:r>
        <w:rPr>
          <w:b/>
          <w:lang w:val="en-GB"/>
        </w:rPr>
        <w:t>dotplot</w:t>
      </w:r>
      <w:proofErr w:type="spellEnd"/>
      <w:r>
        <w:rPr>
          <w:b/>
          <w:lang w:val="en-GB"/>
        </w:rPr>
        <w:t xml:space="preserve"> of top 10 down-regulated pathways by counts (top right), and a network plot with associated expressed genes. </w:t>
      </w:r>
    </w:p>
    <w:p w14:paraId="64C52618" w14:textId="77777777" w:rsidR="00AA5B91" w:rsidRDefault="00AA5B91" w:rsidP="00D73714">
      <w:pPr>
        <w:pStyle w:val="AbstractSummary"/>
        <w:rPr>
          <w:b/>
          <w:lang w:val="en-GB"/>
        </w:rPr>
      </w:pPr>
    </w:p>
    <w:p w14:paraId="72DD51AA" w14:textId="4000A7E7" w:rsidR="009329B4" w:rsidRDefault="009329B4" w:rsidP="00D73714">
      <w:pPr>
        <w:pStyle w:val="AbstractSummary"/>
        <w:rPr>
          <w:b/>
          <w:lang w:val="en-GB"/>
        </w:rPr>
      </w:pPr>
      <w:r w:rsidRPr="0078106A">
        <w:rPr>
          <w:b/>
          <w:lang w:val="en-GB"/>
        </w:rPr>
        <w:t>Discussion</w:t>
      </w:r>
    </w:p>
    <w:p w14:paraId="1F03B50D" w14:textId="28491711" w:rsidR="00A66B21" w:rsidRDefault="0024634E" w:rsidP="00D73714">
      <w:pPr>
        <w:pStyle w:val="AbstractSummary"/>
        <w:rPr>
          <w:bCs/>
          <w:lang w:val="en-GB"/>
        </w:rPr>
      </w:pPr>
      <w:r>
        <w:rPr>
          <w:bCs/>
          <w:lang w:val="en-GB"/>
        </w:rPr>
        <w:t xml:space="preserve">The prevalence of metabolic down-regulation </w:t>
      </w:r>
      <w:r w:rsidR="00A66B21">
        <w:rPr>
          <w:bCs/>
          <w:lang w:val="en-GB"/>
        </w:rPr>
        <w:t xml:space="preserve">gives us insight into how SARS-CoV-2 affects the cells it infects, and </w:t>
      </w:r>
      <w:r w:rsidR="00F16BF5">
        <w:rPr>
          <w:bCs/>
          <w:lang w:val="en-GB"/>
        </w:rPr>
        <w:t>its</w:t>
      </w:r>
      <w:r w:rsidR="00A66B21">
        <w:rPr>
          <w:bCs/>
          <w:lang w:val="en-GB"/>
        </w:rPr>
        <w:t xml:space="preserve"> strategy for survival. In reducing cellular metabolism, the virus is likely redirecting energy towards viral replication [3]. It’s also likely that the reduced metabolism slows the host </w:t>
      </w:r>
      <w:r w:rsidR="00F16BF5">
        <w:rPr>
          <w:bCs/>
          <w:lang w:val="en-GB"/>
        </w:rPr>
        <w:t>organism’s</w:t>
      </w:r>
      <w:r w:rsidR="00A66B21">
        <w:rPr>
          <w:bCs/>
          <w:lang w:val="en-GB"/>
        </w:rPr>
        <w:t xml:space="preserve"> ability to detect the virus.</w:t>
      </w:r>
    </w:p>
    <w:p w14:paraId="521BDE1E" w14:textId="405595AD" w:rsidR="008B6819" w:rsidRDefault="008B6819" w:rsidP="00D73714">
      <w:pPr>
        <w:pStyle w:val="AbstractSummary"/>
        <w:rPr>
          <w:bCs/>
          <w:lang w:val="en-GB"/>
        </w:rPr>
      </w:pPr>
      <w:r>
        <w:rPr>
          <w:bCs/>
          <w:lang w:val="en-GB"/>
        </w:rPr>
        <w:t>The role of the ACE2 gene appears to be important to the virus’s early survival in the host cell as it is the most down-regulated gene across the 4- and 12-hour samples. With the disappearance of the down-regulation in older samples we don’t know the point at which the infection stops having the affect on the gene. There could be a key time frame in which ACE2 has to stay suppressed for the virus to establish itself.</w:t>
      </w:r>
    </w:p>
    <w:p w14:paraId="2639F71F" w14:textId="23E4990F" w:rsidR="00B21AF8" w:rsidRDefault="008B6819" w:rsidP="008B6819">
      <w:pPr>
        <w:pStyle w:val="AbstractSummary"/>
        <w:rPr>
          <w:bCs/>
          <w:lang w:val="en-GB"/>
        </w:rPr>
      </w:pPr>
      <w:r>
        <w:rPr>
          <w:bCs/>
          <w:lang w:val="en-GB"/>
        </w:rPr>
        <w:t>The heatmap and PCA analysis outline a large difference in gene expression between samples for the infected cells at 4- and 12-hours. The supplementary Fig.6 shows close clustering between a single infected 4-hour and the mocks of the same time point.</w:t>
      </w:r>
      <w:r w:rsidR="00983ABB">
        <w:rPr>
          <w:bCs/>
          <w:lang w:val="en-GB"/>
        </w:rPr>
        <w:t xml:space="preserve"> A possible explanation is a greater innate resistance to the influence of the infection, however that resistance, if true, fails to persist for 48 hours.</w:t>
      </w:r>
    </w:p>
    <w:p w14:paraId="5EEE0C5E" w14:textId="53EEAAEC" w:rsidR="008B6819" w:rsidRDefault="008B6819" w:rsidP="00D73714">
      <w:pPr>
        <w:pStyle w:val="AbstractSummary"/>
        <w:rPr>
          <w:bCs/>
          <w:lang w:val="en-GB"/>
        </w:rPr>
      </w:pPr>
      <w:r>
        <w:rPr>
          <w:bCs/>
          <w:lang w:val="en-GB"/>
        </w:rPr>
        <w:t>Potential limitations of our dataset and analysis:</w:t>
      </w:r>
    </w:p>
    <w:p w14:paraId="1BEEC192" w14:textId="182D26D9" w:rsidR="00E5522E" w:rsidRDefault="00E5522E" w:rsidP="00D73714">
      <w:pPr>
        <w:pStyle w:val="AbstractSummary"/>
        <w:rPr>
          <w:bCs/>
          <w:lang w:val="en-GB"/>
        </w:rPr>
      </w:pPr>
      <w:r w:rsidRPr="0078106A">
        <w:rPr>
          <w:bCs/>
          <w:lang w:val="en-GB"/>
        </w:rPr>
        <w:t>With only 3 data points available at each time frame, this could have an impact on our differentially expressed genes (DEGs).</w:t>
      </w:r>
      <w:r>
        <w:rPr>
          <w:bCs/>
          <w:lang w:val="en-GB"/>
        </w:rPr>
        <w:t xml:space="preserve"> This could be further supported by the PCA plot in Fig.2</w:t>
      </w:r>
      <w:r w:rsidR="00983ABB">
        <w:rPr>
          <w:bCs/>
          <w:lang w:val="en-GB"/>
        </w:rPr>
        <w:t xml:space="preserve">. A greater sample size would give us a better insight into the variance we’re seeing across the infected 4- 12-hour DEGs. </w:t>
      </w:r>
    </w:p>
    <w:p w14:paraId="5ADBFE65" w14:textId="3AF1EBD8" w:rsidR="008B6819" w:rsidRPr="0078106A" w:rsidRDefault="002350BA" w:rsidP="00D73714">
      <w:pPr>
        <w:pStyle w:val="AbstractSummary"/>
        <w:rPr>
          <w:bCs/>
          <w:lang w:val="en-GB"/>
        </w:rPr>
      </w:pPr>
      <w:r>
        <w:rPr>
          <w:bCs/>
          <w:lang w:val="en-GB"/>
        </w:rPr>
        <w:t>No up-regulated gene pathways were identified in pathway enrichment analysis. This is potentially a flaw with the code used during analysis. It is recommended that the code be further optimised and peer evaluated for suitability</w:t>
      </w:r>
      <w:r w:rsidR="008B6819">
        <w:rPr>
          <w:bCs/>
          <w:lang w:val="en-GB"/>
        </w:rPr>
        <w:t>.</w:t>
      </w:r>
    </w:p>
    <w:p w14:paraId="6B43805C" w14:textId="77777777" w:rsidR="00357455" w:rsidRPr="0078106A" w:rsidRDefault="00357455">
      <w:pPr>
        <w:rPr>
          <w:rFonts w:eastAsia="Times New Roman"/>
          <w:b/>
          <w:sz w:val="24"/>
          <w:szCs w:val="24"/>
        </w:rPr>
      </w:pPr>
      <w:r w:rsidRPr="0078106A">
        <w:rPr>
          <w:b/>
        </w:rPr>
        <w:br w:type="page"/>
      </w:r>
    </w:p>
    <w:p w14:paraId="4556A143" w14:textId="2C37569D" w:rsidR="00CA5F9D" w:rsidRPr="0078106A" w:rsidRDefault="00D73714" w:rsidP="00357455">
      <w:pPr>
        <w:pStyle w:val="Refhead"/>
        <w:rPr>
          <w:lang w:val="en-GB"/>
        </w:rPr>
      </w:pPr>
      <w:r w:rsidRPr="0078106A">
        <w:rPr>
          <w:lang w:val="en-GB"/>
        </w:rPr>
        <w:lastRenderedPageBreak/>
        <w:t>References</w:t>
      </w:r>
      <w:r w:rsidR="008C361F" w:rsidRPr="0078106A">
        <w:rPr>
          <w:lang w:val="en-GB"/>
        </w:rPr>
        <w:t xml:space="preserve"> and Notes</w:t>
      </w:r>
    </w:p>
    <w:p w14:paraId="692CE966" w14:textId="4185D374" w:rsidR="00CA5F9D" w:rsidRDefault="00CA5F9D" w:rsidP="00357455">
      <w:pPr>
        <w:pStyle w:val="Referencesandnotes"/>
        <w:numPr>
          <w:ilvl w:val="0"/>
          <w:numId w:val="1"/>
        </w:numPr>
        <w:rPr>
          <w:lang w:val="en-GB"/>
        </w:rPr>
      </w:pPr>
      <w:r w:rsidRPr="00CA5F9D">
        <w:rPr>
          <w:lang w:val="en-GB"/>
        </w:rPr>
        <w:t>Ni, W., Yang, X., Yang, D. </w:t>
      </w:r>
      <w:r w:rsidRPr="00CA5F9D">
        <w:rPr>
          <w:i/>
          <w:iCs/>
          <w:lang w:val="en-GB"/>
        </w:rPr>
        <w:t>et al.</w:t>
      </w:r>
      <w:r w:rsidRPr="00CA5F9D">
        <w:rPr>
          <w:lang w:val="en-GB"/>
        </w:rPr>
        <w:t> Role of angiotensin-converting enzyme 2 (ACE2) in COVID-19. </w:t>
      </w:r>
      <w:r w:rsidRPr="00CA5F9D">
        <w:rPr>
          <w:i/>
          <w:iCs/>
          <w:lang w:val="en-GB"/>
        </w:rPr>
        <w:t>Crit Care</w:t>
      </w:r>
      <w:r w:rsidRPr="00CA5F9D">
        <w:rPr>
          <w:lang w:val="en-GB"/>
        </w:rPr>
        <w:t> </w:t>
      </w:r>
      <w:r w:rsidRPr="00CA5F9D">
        <w:rPr>
          <w:b/>
          <w:bCs/>
          <w:lang w:val="en-GB"/>
        </w:rPr>
        <w:t>24</w:t>
      </w:r>
      <w:r w:rsidRPr="00CA5F9D">
        <w:rPr>
          <w:lang w:val="en-GB"/>
        </w:rPr>
        <w:t xml:space="preserve">, 422 (2020). </w:t>
      </w:r>
      <w:hyperlink r:id="rId15" w:history="1">
        <w:r w:rsidR="00BB0A6E" w:rsidRPr="00FD037E">
          <w:rPr>
            <w:rStyle w:val="Hyperlink"/>
            <w:lang w:val="en-GB"/>
          </w:rPr>
          <w:t>https://doi.org/10.1186/s13054-020-03120-0</w:t>
        </w:r>
      </w:hyperlink>
    </w:p>
    <w:p w14:paraId="4A1A4EFE" w14:textId="418005AC" w:rsidR="00BB0A6E" w:rsidRDefault="00EA546A" w:rsidP="00357455">
      <w:pPr>
        <w:pStyle w:val="Referencesandnotes"/>
        <w:numPr>
          <w:ilvl w:val="0"/>
          <w:numId w:val="1"/>
        </w:numPr>
        <w:rPr>
          <w:lang w:val="en-GB"/>
        </w:rPr>
      </w:pPr>
      <w:r w:rsidRPr="00EA546A">
        <w:rPr>
          <w:lang w:val="en-GB"/>
        </w:rPr>
        <w:t>Chen, P., Wu, M., He, Y. </w:t>
      </w:r>
      <w:r w:rsidRPr="00EA546A">
        <w:rPr>
          <w:i/>
          <w:iCs/>
          <w:lang w:val="en-GB"/>
        </w:rPr>
        <w:t>et al.</w:t>
      </w:r>
      <w:r w:rsidRPr="00EA546A">
        <w:rPr>
          <w:lang w:val="en-GB"/>
        </w:rPr>
        <w:t> Metabolic alterations upon SARS-CoV-2 infection and potential therapeutic targets against coronavirus infection. </w:t>
      </w:r>
      <w:r w:rsidRPr="00EA546A">
        <w:rPr>
          <w:i/>
          <w:iCs/>
          <w:lang w:val="en-GB"/>
        </w:rPr>
        <w:t xml:space="preserve">Sig </w:t>
      </w:r>
      <w:proofErr w:type="spellStart"/>
      <w:r w:rsidRPr="00EA546A">
        <w:rPr>
          <w:i/>
          <w:iCs/>
          <w:lang w:val="en-GB"/>
        </w:rPr>
        <w:t>Transduct</w:t>
      </w:r>
      <w:proofErr w:type="spellEnd"/>
      <w:r w:rsidRPr="00EA546A">
        <w:rPr>
          <w:i/>
          <w:iCs/>
          <w:lang w:val="en-GB"/>
        </w:rPr>
        <w:t xml:space="preserve"> Target Ther</w:t>
      </w:r>
      <w:r w:rsidRPr="00EA546A">
        <w:rPr>
          <w:lang w:val="en-GB"/>
        </w:rPr>
        <w:t> </w:t>
      </w:r>
      <w:r w:rsidRPr="00EA546A">
        <w:rPr>
          <w:b/>
          <w:bCs/>
          <w:lang w:val="en-GB"/>
        </w:rPr>
        <w:t>8</w:t>
      </w:r>
      <w:r w:rsidRPr="00EA546A">
        <w:rPr>
          <w:lang w:val="en-GB"/>
        </w:rPr>
        <w:t xml:space="preserve">, 237 (2023). </w:t>
      </w:r>
      <w:hyperlink r:id="rId16" w:history="1">
        <w:r w:rsidRPr="00FD037E">
          <w:rPr>
            <w:rStyle w:val="Hyperlink"/>
            <w:lang w:val="en-GB"/>
          </w:rPr>
          <w:t>https://doi.org/10.1038/s41392-023-01510-8</w:t>
        </w:r>
      </w:hyperlink>
    </w:p>
    <w:p w14:paraId="5EC589D9" w14:textId="0DF77948" w:rsidR="00EA546A" w:rsidRDefault="00A66B21" w:rsidP="00357455">
      <w:pPr>
        <w:pStyle w:val="Referencesandnotes"/>
        <w:numPr>
          <w:ilvl w:val="0"/>
          <w:numId w:val="1"/>
        </w:numPr>
        <w:rPr>
          <w:lang w:val="en-GB"/>
        </w:rPr>
      </w:pPr>
      <w:r w:rsidRPr="00A66B21">
        <w:rPr>
          <w:lang w:val="en-GB"/>
        </w:rPr>
        <w:t>Mullen, P.J., Garcia, G., Purkayastha, A. </w:t>
      </w:r>
      <w:r w:rsidRPr="00A66B21">
        <w:rPr>
          <w:i/>
          <w:iCs/>
          <w:lang w:val="en-GB"/>
        </w:rPr>
        <w:t>et al.</w:t>
      </w:r>
      <w:r w:rsidRPr="00A66B21">
        <w:rPr>
          <w:lang w:val="en-GB"/>
        </w:rPr>
        <w:t> SARS-CoV-2 infection rewires host cell metabolism and is potentially susceptible to mTORC1 inhibition. </w:t>
      </w:r>
      <w:r w:rsidRPr="00A66B21">
        <w:rPr>
          <w:i/>
          <w:iCs/>
          <w:lang w:val="en-GB"/>
        </w:rPr>
        <w:t>Nat Commun</w:t>
      </w:r>
      <w:r w:rsidRPr="00A66B21">
        <w:rPr>
          <w:lang w:val="en-GB"/>
        </w:rPr>
        <w:t> </w:t>
      </w:r>
      <w:r w:rsidRPr="00A66B21">
        <w:rPr>
          <w:b/>
          <w:bCs/>
          <w:lang w:val="en-GB"/>
        </w:rPr>
        <w:t>12</w:t>
      </w:r>
      <w:r w:rsidRPr="00A66B21">
        <w:rPr>
          <w:lang w:val="en-GB"/>
        </w:rPr>
        <w:t>, 1876 (2021). https://doi.org/10.1038/s41467-021-22166-4</w:t>
      </w:r>
    </w:p>
    <w:p w14:paraId="5EEEEE76" w14:textId="77777777" w:rsidR="00BB0A6E" w:rsidRDefault="00BB0A6E" w:rsidP="00E351C0">
      <w:pPr>
        <w:pStyle w:val="Acknowledgement"/>
        <w:ind w:left="0" w:firstLine="0"/>
        <w:rPr>
          <w:b/>
          <w:lang w:val="en-GB"/>
        </w:rPr>
      </w:pPr>
    </w:p>
    <w:p w14:paraId="117431CD" w14:textId="6D1BCF5C" w:rsidR="00BB0A6E" w:rsidRDefault="00BB0A6E" w:rsidP="00E351C0">
      <w:pPr>
        <w:pStyle w:val="Acknowledgement"/>
        <w:ind w:left="0" w:firstLine="0"/>
        <w:rPr>
          <w:bCs/>
          <w:lang w:val="en-GB"/>
        </w:rPr>
      </w:pPr>
      <w:r w:rsidRPr="0078106A">
        <w:rPr>
          <w:b/>
          <w:lang w:val="en-GB"/>
        </w:rPr>
        <w:t>Data and materials availability</w:t>
      </w:r>
      <w:r>
        <w:rPr>
          <w:b/>
          <w:lang w:val="en-GB"/>
        </w:rPr>
        <w:t xml:space="preserve">: </w:t>
      </w:r>
      <w:r w:rsidRPr="00BB0A6E">
        <w:rPr>
          <w:bCs/>
          <w:lang w:val="en-GB"/>
        </w:rPr>
        <w:t xml:space="preserve">All data used in this paper are accessible either from the original author </w:t>
      </w:r>
      <w:r>
        <w:rPr>
          <w:bCs/>
          <w:lang w:val="en-GB"/>
        </w:rPr>
        <w:t>–</w:t>
      </w:r>
      <w:r w:rsidRPr="00BB0A6E">
        <w:rPr>
          <w:bCs/>
          <w:lang w:val="en-GB"/>
        </w:rPr>
        <w:t xml:space="preserve"> </w:t>
      </w:r>
      <w:hyperlink r:id="rId17" w:history="1">
        <w:r w:rsidRPr="00FD037E">
          <w:rPr>
            <w:rStyle w:val="Hyperlink"/>
            <w:bCs/>
            <w:lang w:val="en-GB"/>
          </w:rPr>
          <w:t>https://www.ncbi.nlm.nih.gov/geo/query/acc.cgi?acc=GSE217504</w:t>
        </w:r>
      </w:hyperlink>
      <w:r>
        <w:rPr>
          <w:bCs/>
          <w:lang w:val="en-GB"/>
        </w:rPr>
        <w:t xml:space="preserve"> – or here – </w:t>
      </w:r>
      <w:hyperlink r:id="rId18" w:history="1">
        <w:r w:rsidRPr="00FD037E">
          <w:rPr>
            <w:rStyle w:val="Hyperlink"/>
            <w:bCs/>
            <w:lang w:val="en-GB"/>
          </w:rPr>
          <w:t>https://github.com/wildyr/assignment2</w:t>
        </w:r>
      </w:hyperlink>
      <w:r>
        <w:rPr>
          <w:bCs/>
          <w:lang w:val="en-GB"/>
        </w:rPr>
        <w:t xml:space="preserve"> </w:t>
      </w:r>
    </w:p>
    <w:p w14:paraId="603B68B9" w14:textId="05DB7FB1" w:rsidR="00BB0A6E" w:rsidRDefault="00BB0A6E" w:rsidP="00E351C0">
      <w:pPr>
        <w:pStyle w:val="Acknowledgement"/>
        <w:ind w:left="0" w:firstLine="0"/>
        <w:rPr>
          <w:bCs/>
          <w:lang w:val="en-GB"/>
        </w:rPr>
      </w:pPr>
      <w:r>
        <w:rPr>
          <w:bCs/>
          <w:lang w:val="en-GB"/>
        </w:rPr>
        <w:t>All code produced for and used in this paper</w:t>
      </w:r>
      <w:r w:rsidR="0088295E">
        <w:rPr>
          <w:bCs/>
          <w:lang w:val="en-GB"/>
        </w:rPr>
        <w:t xml:space="preserve">, including versions used, </w:t>
      </w:r>
      <w:r>
        <w:rPr>
          <w:bCs/>
          <w:lang w:val="en-GB"/>
        </w:rPr>
        <w:t xml:space="preserve">are available here – </w:t>
      </w:r>
      <w:hyperlink r:id="rId19" w:history="1">
        <w:r w:rsidRPr="00FD037E">
          <w:rPr>
            <w:rStyle w:val="Hyperlink"/>
            <w:bCs/>
            <w:lang w:val="en-GB"/>
          </w:rPr>
          <w:t>https://github.com/wildyr/assignment</w:t>
        </w:r>
        <w:r w:rsidRPr="00FD037E">
          <w:rPr>
            <w:rStyle w:val="Hyperlink"/>
            <w:bCs/>
            <w:lang w:val="en-GB"/>
          </w:rPr>
          <w:t>2</w:t>
        </w:r>
      </w:hyperlink>
    </w:p>
    <w:p w14:paraId="7CEF2831" w14:textId="77777777" w:rsidR="00BB0A6E" w:rsidRPr="00BB0A6E" w:rsidRDefault="00BB0A6E" w:rsidP="00E351C0">
      <w:pPr>
        <w:pStyle w:val="Acknowledgement"/>
        <w:ind w:left="0" w:firstLine="0"/>
        <w:rPr>
          <w:bCs/>
          <w:lang w:val="en-GB"/>
        </w:rPr>
      </w:pPr>
    </w:p>
    <w:p w14:paraId="73E3617C" w14:textId="1E782026" w:rsidR="00D73714" w:rsidRPr="0078106A" w:rsidRDefault="00D73714" w:rsidP="00BB0A6E">
      <w:pPr>
        <w:pStyle w:val="Acknowledgement"/>
        <w:ind w:left="0" w:firstLine="0"/>
        <w:rPr>
          <w:lang w:val="en-GB"/>
        </w:rPr>
      </w:pPr>
      <w:r w:rsidRPr="0078106A">
        <w:rPr>
          <w:b/>
          <w:lang w:val="en-GB"/>
        </w:rPr>
        <w:t>Acknowledgments:</w:t>
      </w:r>
      <w:r w:rsidRPr="0078106A">
        <w:rPr>
          <w:lang w:val="en-GB"/>
        </w:rPr>
        <w:t xml:space="preserve"> </w:t>
      </w:r>
      <w:r w:rsidR="00BB0A6E">
        <w:rPr>
          <w:lang w:val="en-GB"/>
        </w:rPr>
        <w:t>All analysis was conducted in R Studio. ChatGPT was utilised in troubleshooting both R and shell coding. Phind was utilised in finding articles for further reading.</w:t>
      </w:r>
    </w:p>
    <w:p w14:paraId="751FC283" w14:textId="1B861896" w:rsidR="00F26AF7" w:rsidRDefault="00F26AF7" w:rsidP="00F26AF7">
      <w:pPr>
        <w:pStyle w:val="SOMHead"/>
        <w:rPr>
          <w:lang w:val="en-GB"/>
        </w:rPr>
      </w:pPr>
      <w:r w:rsidRPr="0078106A">
        <w:rPr>
          <w:lang w:val="en-GB"/>
        </w:rPr>
        <w:lastRenderedPageBreak/>
        <w:t>Supplementary Materials</w:t>
      </w:r>
    </w:p>
    <w:p w14:paraId="1F3EC30C" w14:textId="112B3599" w:rsidR="00EA546A" w:rsidRDefault="00EA546A" w:rsidP="00F26AF7">
      <w:pPr>
        <w:pStyle w:val="SOMHead"/>
      </w:pPr>
      <w:r w:rsidRPr="00EA546A">
        <w:drawing>
          <wp:inline distT="0" distB="0" distL="0" distR="0" wp14:anchorId="7A3D85A5" wp14:editId="5725A2BB">
            <wp:extent cx="5943600" cy="3886200"/>
            <wp:effectExtent l="0" t="0" r="0" b="0"/>
            <wp:docPr id="838726782" name="Picture 8" descr="A blue dotted line with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26782" name="Picture 8" descr="A blue dotted line with red li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14:paraId="2BFE1BC9" w14:textId="5CC2FECD" w:rsidR="0088295E" w:rsidRPr="00F16BF5" w:rsidRDefault="0088295E" w:rsidP="00F26AF7">
      <w:pPr>
        <w:pStyle w:val="SOMHead"/>
      </w:pPr>
      <w:r>
        <w:t>Fig. 5. Dispersion Plot.</w:t>
      </w:r>
    </w:p>
    <w:p w14:paraId="4F74C9A0" w14:textId="58969E47" w:rsidR="00EA546A" w:rsidRDefault="00EA546A" w:rsidP="00EA546A">
      <w:pPr>
        <w:pStyle w:val="SOMContent"/>
      </w:pPr>
      <w:r w:rsidRPr="00EA546A">
        <w:drawing>
          <wp:inline distT="0" distB="0" distL="0" distR="0" wp14:anchorId="0711C30F" wp14:editId="1E21AD41">
            <wp:extent cx="5943600" cy="3323590"/>
            <wp:effectExtent l="0" t="0" r="0" b="0"/>
            <wp:docPr id="1951128484" name="Picture 6" descr="A diagram of a clustering dendrogram of samp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28484" name="Picture 6" descr="A diagram of a clustering dendrogram of sampl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23590"/>
                    </a:xfrm>
                    <a:prstGeom prst="rect">
                      <a:avLst/>
                    </a:prstGeom>
                    <a:noFill/>
                    <a:ln>
                      <a:noFill/>
                    </a:ln>
                  </pic:spPr>
                </pic:pic>
              </a:graphicData>
            </a:graphic>
          </wp:inline>
        </w:drawing>
      </w:r>
    </w:p>
    <w:p w14:paraId="22BF93C4" w14:textId="79A3A590" w:rsidR="0088295E" w:rsidRPr="00EA546A" w:rsidRDefault="0088295E" w:rsidP="00EA546A">
      <w:pPr>
        <w:pStyle w:val="SOMContent"/>
      </w:pPr>
      <w:r>
        <w:rPr>
          <w:b/>
          <w:bCs/>
        </w:rPr>
        <w:t xml:space="preserve">Fig. 6. Hierarchical Clustering Dendrogram. </w:t>
      </w:r>
      <w:r>
        <w:t>Generated with three clusters, the difference at 48h is clear.</w:t>
      </w:r>
    </w:p>
    <w:p w14:paraId="721F1FA6" w14:textId="02A7AE07" w:rsidR="00701DA9" w:rsidRDefault="00EA546A" w:rsidP="00CA5F9D">
      <w:pPr>
        <w:pStyle w:val="SOMContent"/>
        <w:rPr>
          <w:lang w:val="en-GB"/>
        </w:rPr>
      </w:pPr>
      <w:r w:rsidRPr="00EA546A">
        <w:rPr>
          <w:lang w:val="en-GB"/>
        </w:rPr>
        <w:lastRenderedPageBreak/>
        <w:drawing>
          <wp:inline distT="0" distB="0" distL="0" distR="0" wp14:anchorId="6F8AB60C" wp14:editId="169B9282">
            <wp:extent cx="5943600" cy="3790950"/>
            <wp:effectExtent l="0" t="0" r="0" b="0"/>
            <wp:docPr id="1962577502" name="Picture 10" descr="A graph of a gene exp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77502" name="Picture 10" descr="A graph of a gene expressio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90950"/>
                    </a:xfrm>
                    <a:prstGeom prst="rect">
                      <a:avLst/>
                    </a:prstGeom>
                    <a:noFill/>
                    <a:ln>
                      <a:noFill/>
                    </a:ln>
                  </pic:spPr>
                </pic:pic>
              </a:graphicData>
            </a:graphic>
          </wp:inline>
        </w:drawing>
      </w:r>
    </w:p>
    <w:p w14:paraId="3394A5B0" w14:textId="70D6459B" w:rsidR="0088295E" w:rsidRPr="0088295E" w:rsidRDefault="0088295E" w:rsidP="00CA5F9D">
      <w:pPr>
        <w:pStyle w:val="SOMContent"/>
        <w:rPr>
          <w:b/>
          <w:bCs/>
          <w:lang w:val="en-GB"/>
        </w:rPr>
      </w:pPr>
      <w:r>
        <w:rPr>
          <w:b/>
          <w:bCs/>
          <w:lang w:val="en-GB"/>
        </w:rPr>
        <w:t>Fig. 7. MA Plot.</w:t>
      </w:r>
    </w:p>
    <w:p w14:paraId="502A7C9D" w14:textId="356FBBA4" w:rsidR="00F16BF5" w:rsidRDefault="00F16BF5" w:rsidP="00F16BF5">
      <w:pPr>
        <w:pStyle w:val="SOMContent"/>
      </w:pPr>
      <w:r w:rsidRPr="00F16BF5">
        <w:drawing>
          <wp:inline distT="0" distB="0" distL="0" distR="0" wp14:anchorId="5E1469C4" wp14:editId="185CABCA">
            <wp:extent cx="5943600" cy="3975100"/>
            <wp:effectExtent l="0" t="0" r="0" b="6350"/>
            <wp:docPr id="1908932516" name="Picture 18"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32516" name="Picture 18" descr="A chart with different colored square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1284C13F" w14:textId="118CF84E" w:rsidR="0088295E" w:rsidRPr="00F16BF5" w:rsidRDefault="0088295E" w:rsidP="00F16BF5">
      <w:pPr>
        <w:pStyle w:val="SOMContent"/>
        <w:rPr>
          <w:b/>
          <w:bCs/>
        </w:rPr>
      </w:pPr>
      <w:r>
        <w:rPr>
          <w:b/>
          <w:bCs/>
        </w:rPr>
        <w:t>Fig. 8. Heatmap of top 10 most expressed genes</w:t>
      </w:r>
    </w:p>
    <w:p w14:paraId="67D0371E" w14:textId="1F44F796" w:rsidR="00F16BF5" w:rsidRDefault="00F16BF5" w:rsidP="00F16BF5">
      <w:pPr>
        <w:pStyle w:val="SOMContent"/>
      </w:pPr>
      <w:r w:rsidRPr="00F16BF5">
        <w:lastRenderedPageBreak/>
        <w:drawing>
          <wp:inline distT="0" distB="0" distL="0" distR="0" wp14:anchorId="4FFAE92D" wp14:editId="7474548D">
            <wp:extent cx="5943600" cy="3975100"/>
            <wp:effectExtent l="0" t="0" r="0" b="6350"/>
            <wp:docPr id="989197768" name="Picture 20"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7768" name="Picture 20" descr="A chart with different colored square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7389775B" w14:textId="4A8F207B" w:rsidR="0088295E" w:rsidRPr="00F16BF5" w:rsidRDefault="0088295E" w:rsidP="00F16BF5">
      <w:pPr>
        <w:pStyle w:val="SOMContent"/>
        <w:rPr>
          <w:b/>
          <w:bCs/>
        </w:rPr>
      </w:pPr>
      <w:r>
        <w:rPr>
          <w:b/>
          <w:bCs/>
        </w:rPr>
        <w:t>Fig. 9. Heatmap of Z-Scored Expression Levels for Top 10 genes.</w:t>
      </w:r>
    </w:p>
    <w:p w14:paraId="32CDAD0C" w14:textId="77777777" w:rsidR="00F16BF5" w:rsidRPr="00CA5F9D" w:rsidRDefault="00F16BF5" w:rsidP="00CA5F9D">
      <w:pPr>
        <w:pStyle w:val="SOMContent"/>
        <w:rPr>
          <w:lang w:val="en-GB"/>
        </w:rPr>
      </w:pPr>
    </w:p>
    <w:sectPr w:rsidR="00F16BF5" w:rsidRPr="00CA5F9D" w:rsidSect="000B7E4F">
      <w:headerReference w:type="default" r:id="rId25"/>
      <w:footerReference w:type="default" r:id="rId26"/>
      <w:headerReference w:type="first" r:id="rId27"/>
      <w:footerReference w:type="first" r:id="rId28"/>
      <w:pgSz w:w="12240" w:h="15840" w:code="1"/>
      <w:pgMar w:top="1296" w:right="1440" w:bottom="1296" w:left="1440" w:header="432" w:footer="720" w:gutter="0"/>
      <w:lnNumType w:countBy="5" w:distance="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4ED93" w14:textId="77777777" w:rsidR="00975786" w:rsidRPr="0078106A" w:rsidRDefault="00975786" w:rsidP="00D73714">
      <w:r w:rsidRPr="0078106A">
        <w:separator/>
      </w:r>
    </w:p>
  </w:endnote>
  <w:endnote w:type="continuationSeparator" w:id="0">
    <w:p w14:paraId="27439A39" w14:textId="77777777" w:rsidR="00975786" w:rsidRPr="0078106A" w:rsidRDefault="00975786" w:rsidP="00D73714">
      <w:r w:rsidRPr="0078106A">
        <w:continuationSeparator/>
      </w:r>
    </w:p>
  </w:endnote>
  <w:endnote w:type="continuationNotice" w:id="1">
    <w:p w14:paraId="41656BF4" w14:textId="77777777" w:rsidR="00975786" w:rsidRPr="0078106A" w:rsidRDefault="009757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42896" w14:textId="4CB2FEC0" w:rsidR="002C4DCA" w:rsidRPr="0078106A" w:rsidRDefault="002C4DCA">
    <w:pPr>
      <w:pStyle w:val="Footer"/>
      <w:jc w:val="center"/>
      <w:rPr>
        <w:caps/>
        <w:color w:val="4F81BD" w:themeColor="accent1"/>
      </w:rPr>
    </w:pPr>
    <w:r w:rsidRPr="0078106A">
      <w:rPr>
        <w:caps/>
        <w:color w:val="4F81BD" w:themeColor="accent1"/>
      </w:rPr>
      <w:fldChar w:fldCharType="begin"/>
    </w:r>
    <w:r w:rsidRPr="0078106A">
      <w:rPr>
        <w:caps/>
        <w:color w:val="4F81BD" w:themeColor="accent1"/>
      </w:rPr>
      <w:instrText xml:space="preserve"> PAGE   \* MERGEFORMAT </w:instrText>
    </w:r>
    <w:r w:rsidRPr="0078106A">
      <w:rPr>
        <w:caps/>
        <w:color w:val="4F81BD" w:themeColor="accent1"/>
      </w:rPr>
      <w:fldChar w:fldCharType="separate"/>
    </w:r>
    <w:r w:rsidRPr="0078106A">
      <w:rPr>
        <w:caps/>
        <w:color w:val="4F81BD" w:themeColor="accent1"/>
      </w:rPr>
      <w:t>4</w:t>
    </w:r>
    <w:r w:rsidRPr="0078106A">
      <w:rPr>
        <w:caps/>
        <w:color w:val="4F81BD" w:themeColor="accent1"/>
      </w:rPr>
      <w:fldChar w:fldCharType="end"/>
    </w:r>
  </w:p>
  <w:p w14:paraId="4435F476" w14:textId="77777777" w:rsidR="002C4DCA" w:rsidRPr="0078106A" w:rsidRDefault="002C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2A9B8" w14:textId="4AEB110C" w:rsidR="002C4DCA" w:rsidRPr="0078106A" w:rsidRDefault="002C4DCA">
    <w:pPr>
      <w:pStyle w:val="Footer"/>
      <w:jc w:val="center"/>
      <w:rPr>
        <w:caps/>
        <w:color w:val="4F81BD" w:themeColor="accent1"/>
      </w:rPr>
    </w:pPr>
    <w:r w:rsidRPr="0078106A">
      <w:rPr>
        <w:caps/>
        <w:color w:val="4F81BD" w:themeColor="accent1"/>
      </w:rPr>
      <w:fldChar w:fldCharType="begin"/>
    </w:r>
    <w:r w:rsidRPr="0078106A">
      <w:rPr>
        <w:caps/>
        <w:color w:val="4F81BD" w:themeColor="accent1"/>
      </w:rPr>
      <w:instrText xml:space="preserve"> PAGE   \* MERGEFORMAT </w:instrText>
    </w:r>
    <w:r w:rsidRPr="0078106A">
      <w:rPr>
        <w:caps/>
        <w:color w:val="4F81BD" w:themeColor="accent1"/>
      </w:rPr>
      <w:fldChar w:fldCharType="separate"/>
    </w:r>
    <w:r w:rsidRPr="0078106A">
      <w:rPr>
        <w:caps/>
        <w:color w:val="4F81BD" w:themeColor="accent1"/>
      </w:rPr>
      <w:t>1</w:t>
    </w:r>
    <w:r w:rsidRPr="0078106A">
      <w:rPr>
        <w:caps/>
        <w:color w:val="4F81BD" w:themeColor="accent1"/>
      </w:rPr>
      <w:fldChar w:fldCharType="end"/>
    </w:r>
  </w:p>
  <w:p w14:paraId="5D45F473" w14:textId="77777777" w:rsidR="002C4DCA" w:rsidRPr="0078106A" w:rsidRDefault="002C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B0127D" w14:textId="77777777" w:rsidR="00975786" w:rsidRPr="0078106A" w:rsidRDefault="00975786" w:rsidP="00D73714">
      <w:r w:rsidRPr="0078106A">
        <w:separator/>
      </w:r>
    </w:p>
  </w:footnote>
  <w:footnote w:type="continuationSeparator" w:id="0">
    <w:p w14:paraId="58D59FB1" w14:textId="77777777" w:rsidR="00975786" w:rsidRPr="0078106A" w:rsidRDefault="00975786" w:rsidP="00D73714">
      <w:r w:rsidRPr="0078106A">
        <w:continuationSeparator/>
      </w:r>
    </w:p>
  </w:footnote>
  <w:footnote w:type="continuationNotice" w:id="1">
    <w:p w14:paraId="6C49195F" w14:textId="77777777" w:rsidR="00975786" w:rsidRPr="0078106A" w:rsidRDefault="009757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C57FC" w14:textId="77777777" w:rsidR="00DA25F2" w:rsidRPr="0078106A" w:rsidRDefault="00DA25F2" w:rsidP="00BD3B33">
    <w:pPr>
      <w:pStyle w:val="Header"/>
      <w:tabs>
        <w:tab w:val="clear" w:pos="4320"/>
        <w:tab w:val="clear" w:pos="8640"/>
        <w:tab w:val="left" w:pos="324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7F5B3" w14:textId="482E2676" w:rsidR="002C4DCA" w:rsidRPr="0078106A" w:rsidRDefault="002C4DCA" w:rsidP="00D73714">
    <w:pPr>
      <w:pStyle w:val="Header"/>
    </w:pPr>
    <w:r w:rsidRPr="0078106A">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rsidRPr="0078106A">
      <w:tab/>
      <w:t>Submitted Manuscript: Confidential</w:t>
    </w:r>
    <w:r w:rsidRPr="0078106A">
      <w:tab/>
    </w:r>
  </w:p>
  <w:p w14:paraId="39D9CEFC" w14:textId="15DB7D42" w:rsidR="002C4DCA" w:rsidRPr="0078106A" w:rsidRDefault="002C4DCA" w:rsidP="00D7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71C09D9"/>
    <w:multiLevelType w:val="multilevel"/>
    <w:tmpl w:val="D8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2752373">
    <w:abstractNumId w:val="11"/>
  </w:num>
  <w:num w:numId="2" w16cid:durableId="16779342">
    <w:abstractNumId w:val="9"/>
  </w:num>
  <w:num w:numId="3" w16cid:durableId="1363625599">
    <w:abstractNumId w:val="7"/>
  </w:num>
  <w:num w:numId="4" w16cid:durableId="1460297926">
    <w:abstractNumId w:val="6"/>
  </w:num>
  <w:num w:numId="5" w16cid:durableId="975060645">
    <w:abstractNumId w:val="5"/>
  </w:num>
  <w:num w:numId="6" w16cid:durableId="1144276340">
    <w:abstractNumId w:val="4"/>
  </w:num>
  <w:num w:numId="7" w16cid:durableId="113062174">
    <w:abstractNumId w:val="8"/>
  </w:num>
  <w:num w:numId="8" w16cid:durableId="1930577969">
    <w:abstractNumId w:val="3"/>
  </w:num>
  <w:num w:numId="9" w16cid:durableId="1642688290">
    <w:abstractNumId w:val="2"/>
  </w:num>
  <w:num w:numId="10" w16cid:durableId="1688022836">
    <w:abstractNumId w:val="1"/>
  </w:num>
  <w:num w:numId="11" w16cid:durableId="155800644">
    <w:abstractNumId w:val="0"/>
  </w:num>
  <w:num w:numId="12" w16cid:durableId="45306619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16cid:durableId="1477455190">
    <w:abstractNumId w:val="12"/>
  </w:num>
  <w:num w:numId="14" w16cid:durableId="14326229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1D"/>
    <w:rsid w:val="0000412D"/>
    <w:rsid w:val="00010A90"/>
    <w:rsid w:val="0001644F"/>
    <w:rsid w:val="00017543"/>
    <w:rsid w:val="00022F72"/>
    <w:rsid w:val="00026FDD"/>
    <w:rsid w:val="000464E0"/>
    <w:rsid w:val="000562CC"/>
    <w:rsid w:val="00063761"/>
    <w:rsid w:val="00071B2F"/>
    <w:rsid w:val="00075B68"/>
    <w:rsid w:val="00077272"/>
    <w:rsid w:val="00083152"/>
    <w:rsid w:val="00085D75"/>
    <w:rsid w:val="00095099"/>
    <w:rsid w:val="000B7E4F"/>
    <w:rsid w:val="000C460C"/>
    <w:rsid w:val="000C7F0C"/>
    <w:rsid w:val="000F0553"/>
    <w:rsid w:val="000F123D"/>
    <w:rsid w:val="00101767"/>
    <w:rsid w:val="001074DD"/>
    <w:rsid w:val="00110652"/>
    <w:rsid w:val="00111899"/>
    <w:rsid w:val="00113C42"/>
    <w:rsid w:val="0011738B"/>
    <w:rsid w:val="00122855"/>
    <w:rsid w:val="00124ABC"/>
    <w:rsid w:val="001331D7"/>
    <w:rsid w:val="001447DE"/>
    <w:rsid w:val="0015549E"/>
    <w:rsid w:val="001611C8"/>
    <w:rsid w:val="001617C0"/>
    <w:rsid w:val="00174D19"/>
    <w:rsid w:val="001775FA"/>
    <w:rsid w:val="00182023"/>
    <w:rsid w:val="0019094B"/>
    <w:rsid w:val="001A476E"/>
    <w:rsid w:val="001A50B3"/>
    <w:rsid w:val="001B2E30"/>
    <w:rsid w:val="001C4CC8"/>
    <w:rsid w:val="001D3DE1"/>
    <w:rsid w:val="001D4C6A"/>
    <w:rsid w:val="001E494A"/>
    <w:rsid w:val="001E7AE2"/>
    <w:rsid w:val="00200048"/>
    <w:rsid w:val="002015DE"/>
    <w:rsid w:val="002053AF"/>
    <w:rsid w:val="0021079F"/>
    <w:rsid w:val="00227AE4"/>
    <w:rsid w:val="00230D22"/>
    <w:rsid w:val="002350BA"/>
    <w:rsid w:val="00236F8D"/>
    <w:rsid w:val="0024634E"/>
    <w:rsid w:val="002475FA"/>
    <w:rsid w:val="00260E4E"/>
    <w:rsid w:val="00270F47"/>
    <w:rsid w:val="0029404C"/>
    <w:rsid w:val="002A192C"/>
    <w:rsid w:val="002A6B1F"/>
    <w:rsid w:val="002B64AB"/>
    <w:rsid w:val="002C07E9"/>
    <w:rsid w:val="002C33B8"/>
    <w:rsid w:val="002C4DCA"/>
    <w:rsid w:val="002E13DD"/>
    <w:rsid w:val="002E41A5"/>
    <w:rsid w:val="002E5C7C"/>
    <w:rsid w:val="002E60B9"/>
    <w:rsid w:val="002E7A3C"/>
    <w:rsid w:val="002F7740"/>
    <w:rsid w:val="003024EA"/>
    <w:rsid w:val="00307F53"/>
    <w:rsid w:val="00310501"/>
    <w:rsid w:val="00340ACB"/>
    <w:rsid w:val="00345066"/>
    <w:rsid w:val="00357455"/>
    <w:rsid w:val="00363BF8"/>
    <w:rsid w:val="003658DF"/>
    <w:rsid w:val="00370FED"/>
    <w:rsid w:val="00381E32"/>
    <w:rsid w:val="0038427C"/>
    <w:rsid w:val="003851C5"/>
    <w:rsid w:val="00391FA5"/>
    <w:rsid w:val="003A77E5"/>
    <w:rsid w:val="003A7E63"/>
    <w:rsid w:val="003B0531"/>
    <w:rsid w:val="003C1C49"/>
    <w:rsid w:val="003C2547"/>
    <w:rsid w:val="003C58F0"/>
    <w:rsid w:val="003D39E6"/>
    <w:rsid w:val="003D6392"/>
    <w:rsid w:val="003D791C"/>
    <w:rsid w:val="003E2BE6"/>
    <w:rsid w:val="003E40AA"/>
    <w:rsid w:val="003E47D5"/>
    <w:rsid w:val="003F19B9"/>
    <w:rsid w:val="003F761E"/>
    <w:rsid w:val="004057E5"/>
    <w:rsid w:val="0042190D"/>
    <w:rsid w:val="00432A92"/>
    <w:rsid w:val="00447EB3"/>
    <w:rsid w:val="004522CB"/>
    <w:rsid w:val="00464ABD"/>
    <w:rsid w:val="00465F7D"/>
    <w:rsid w:val="00475539"/>
    <w:rsid w:val="00481EC7"/>
    <w:rsid w:val="00482684"/>
    <w:rsid w:val="004826E2"/>
    <w:rsid w:val="004871D4"/>
    <w:rsid w:val="004876B9"/>
    <w:rsid w:val="004A4ABB"/>
    <w:rsid w:val="004A5DD4"/>
    <w:rsid w:val="004B4F4B"/>
    <w:rsid w:val="004B6AD4"/>
    <w:rsid w:val="004C0CBE"/>
    <w:rsid w:val="004C16CE"/>
    <w:rsid w:val="004D10EA"/>
    <w:rsid w:val="004D19A5"/>
    <w:rsid w:val="004D2EF6"/>
    <w:rsid w:val="004D6781"/>
    <w:rsid w:val="004E7B49"/>
    <w:rsid w:val="004E7D3D"/>
    <w:rsid w:val="00517675"/>
    <w:rsid w:val="005202B7"/>
    <w:rsid w:val="005220F8"/>
    <w:rsid w:val="00545DD8"/>
    <w:rsid w:val="00557070"/>
    <w:rsid w:val="00560CF5"/>
    <w:rsid w:val="005659B1"/>
    <w:rsid w:val="00565D96"/>
    <w:rsid w:val="00567935"/>
    <w:rsid w:val="00572498"/>
    <w:rsid w:val="00575375"/>
    <w:rsid w:val="00576E95"/>
    <w:rsid w:val="00583CCA"/>
    <w:rsid w:val="005862F3"/>
    <w:rsid w:val="005A54A8"/>
    <w:rsid w:val="005B50D5"/>
    <w:rsid w:val="005C7511"/>
    <w:rsid w:val="005C7805"/>
    <w:rsid w:val="005D199B"/>
    <w:rsid w:val="005D1F27"/>
    <w:rsid w:val="005F456A"/>
    <w:rsid w:val="00606EBD"/>
    <w:rsid w:val="006161C9"/>
    <w:rsid w:val="00627169"/>
    <w:rsid w:val="00627266"/>
    <w:rsid w:val="00631669"/>
    <w:rsid w:val="00632F22"/>
    <w:rsid w:val="0064261D"/>
    <w:rsid w:val="006455DA"/>
    <w:rsid w:val="006500DF"/>
    <w:rsid w:val="0065050E"/>
    <w:rsid w:val="0065435C"/>
    <w:rsid w:val="00655A58"/>
    <w:rsid w:val="00666EF1"/>
    <w:rsid w:val="006757DB"/>
    <w:rsid w:val="006828D6"/>
    <w:rsid w:val="00690FDE"/>
    <w:rsid w:val="0069104C"/>
    <w:rsid w:val="006A0DD2"/>
    <w:rsid w:val="006A2645"/>
    <w:rsid w:val="006A62B2"/>
    <w:rsid w:val="006A7883"/>
    <w:rsid w:val="006C117B"/>
    <w:rsid w:val="006C6348"/>
    <w:rsid w:val="006D108B"/>
    <w:rsid w:val="006D40FF"/>
    <w:rsid w:val="006D718F"/>
    <w:rsid w:val="006E2D52"/>
    <w:rsid w:val="006E48F0"/>
    <w:rsid w:val="006E5832"/>
    <w:rsid w:val="006E590E"/>
    <w:rsid w:val="006F1AC9"/>
    <w:rsid w:val="00701DA9"/>
    <w:rsid w:val="00701FDB"/>
    <w:rsid w:val="007113A9"/>
    <w:rsid w:val="007161A3"/>
    <w:rsid w:val="00716CFA"/>
    <w:rsid w:val="00741D39"/>
    <w:rsid w:val="00742782"/>
    <w:rsid w:val="007440FE"/>
    <w:rsid w:val="0074692B"/>
    <w:rsid w:val="00755125"/>
    <w:rsid w:val="0076048F"/>
    <w:rsid w:val="0077592F"/>
    <w:rsid w:val="0078106A"/>
    <w:rsid w:val="007868D5"/>
    <w:rsid w:val="007A3AE7"/>
    <w:rsid w:val="007B463E"/>
    <w:rsid w:val="007B4822"/>
    <w:rsid w:val="007B7E30"/>
    <w:rsid w:val="007C05D6"/>
    <w:rsid w:val="007C6679"/>
    <w:rsid w:val="007D14F3"/>
    <w:rsid w:val="007D733F"/>
    <w:rsid w:val="007E37C1"/>
    <w:rsid w:val="007F20A8"/>
    <w:rsid w:val="00821BBC"/>
    <w:rsid w:val="008270D8"/>
    <w:rsid w:val="008355F1"/>
    <w:rsid w:val="00837A68"/>
    <w:rsid w:val="0084615B"/>
    <w:rsid w:val="0084745B"/>
    <w:rsid w:val="0086656C"/>
    <w:rsid w:val="0088295E"/>
    <w:rsid w:val="00891F82"/>
    <w:rsid w:val="008B018C"/>
    <w:rsid w:val="008B2D70"/>
    <w:rsid w:val="008B420E"/>
    <w:rsid w:val="008B6819"/>
    <w:rsid w:val="008C361F"/>
    <w:rsid w:val="008C5F47"/>
    <w:rsid w:val="008D5410"/>
    <w:rsid w:val="008F2233"/>
    <w:rsid w:val="0090050B"/>
    <w:rsid w:val="009329B4"/>
    <w:rsid w:val="00942EB0"/>
    <w:rsid w:val="009526C9"/>
    <w:rsid w:val="009719B2"/>
    <w:rsid w:val="0097571B"/>
    <w:rsid w:val="00975780"/>
    <w:rsid w:val="00975786"/>
    <w:rsid w:val="00980B9F"/>
    <w:rsid w:val="00983ABB"/>
    <w:rsid w:val="009966F9"/>
    <w:rsid w:val="009A51BB"/>
    <w:rsid w:val="009A5F83"/>
    <w:rsid w:val="009A6B8F"/>
    <w:rsid w:val="009E3C19"/>
    <w:rsid w:val="009E78A6"/>
    <w:rsid w:val="009F2B56"/>
    <w:rsid w:val="009F70E2"/>
    <w:rsid w:val="009F7E60"/>
    <w:rsid w:val="00A07C12"/>
    <w:rsid w:val="00A127AE"/>
    <w:rsid w:val="00A16681"/>
    <w:rsid w:val="00A1748D"/>
    <w:rsid w:val="00A17C1D"/>
    <w:rsid w:val="00A23CD5"/>
    <w:rsid w:val="00A25E52"/>
    <w:rsid w:val="00A502AA"/>
    <w:rsid w:val="00A51678"/>
    <w:rsid w:val="00A53647"/>
    <w:rsid w:val="00A56752"/>
    <w:rsid w:val="00A644A5"/>
    <w:rsid w:val="00A66B21"/>
    <w:rsid w:val="00A80658"/>
    <w:rsid w:val="00A83171"/>
    <w:rsid w:val="00A861BA"/>
    <w:rsid w:val="00A878A7"/>
    <w:rsid w:val="00A940D1"/>
    <w:rsid w:val="00A954C5"/>
    <w:rsid w:val="00AA14AF"/>
    <w:rsid w:val="00AA446F"/>
    <w:rsid w:val="00AA5B91"/>
    <w:rsid w:val="00AC4045"/>
    <w:rsid w:val="00AD471D"/>
    <w:rsid w:val="00AF6AFC"/>
    <w:rsid w:val="00B01CB1"/>
    <w:rsid w:val="00B04786"/>
    <w:rsid w:val="00B052C9"/>
    <w:rsid w:val="00B0541D"/>
    <w:rsid w:val="00B0747B"/>
    <w:rsid w:val="00B21AF8"/>
    <w:rsid w:val="00B2648F"/>
    <w:rsid w:val="00B40F6D"/>
    <w:rsid w:val="00B422F9"/>
    <w:rsid w:val="00B47B29"/>
    <w:rsid w:val="00B504DA"/>
    <w:rsid w:val="00B52557"/>
    <w:rsid w:val="00B61DCB"/>
    <w:rsid w:val="00B63221"/>
    <w:rsid w:val="00B82FEA"/>
    <w:rsid w:val="00B84598"/>
    <w:rsid w:val="00B9331C"/>
    <w:rsid w:val="00B95CEA"/>
    <w:rsid w:val="00BA64AE"/>
    <w:rsid w:val="00BB0A6E"/>
    <w:rsid w:val="00BB7527"/>
    <w:rsid w:val="00BC3A8B"/>
    <w:rsid w:val="00BC7D57"/>
    <w:rsid w:val="00BD127C"/>
    <w:rsid w:val="00BD1667"/>
    <w:rsid w:val="00BD3B33"/>
    <w:rsid w:val="00BD576C"/>
    <w:rsid w:val="00BE151A"/>
    <w:rsid w:val="00BE1EA8"/>
    <w:rsid w:val="00BE3F0C"/>
    <w:rsid w:val="00BE5D15"/>
    <w:rsid w:val="00BF6C48"/>
    <w:rsid w:val="00C07264"/>
    <w:rsid w:val="00C13940"/>
    <w:rsid w:val="00C17F1B"/>
    <w:rsid w:val="00C20240"/>
    <w:rsid w:val="00C22A04"/>
    <w:rsid w:val="00C33662"/>
    <w:rsid w:val="00C3528D"/>
    <w:rsid w:val="00C426A5"/>
    <w:rsid w:val="00C61E91"/>
    <w:rsid w:val="00C62125"/>
    <w:rsid w:val="00C621C7"/>
    <w:rsid w:val="00C708FE"/>
    <w:rsid w:val="00C741DD"/>
    <w:rsid w:val="00C86E03"/>
    <w:rsid w:val="00C96CB3"/>
    <w:rsid w:val="00CA296B"/>
    <w:rsid w:val="00CA5F9D"/>
    <w:rsid w:val="00CB0434"/>
    <w:rsid w:val="00CB7741"/>
    <w:rsid w:val="00CC2657"/>
    <w:rsid w:val="00CC7625"/>
    <w:rsid w:val="00CE6F3A"/>
    <w:rsid w:val="00CF33DA"/>
    <w:rsid w:val="00CF3BEC"/>
    <w:rsid w:val="00D01145"/>
    <w:rsid w:val="00D119C1"/>
    <w:rsid w:val="00D304CF"/>
    <w:rsid w:val="00D47412"/>
    <w:rsid w:val="00D61494"/>
    <w:rsid w:val="00D70548"/>
    <w:rsid w:val="00D73714"/>
    <w:rsid w:val="00D768B9"/>
    <w:rsid w:val="00D805A6"/>
    <w:rsid w:val="00D96AFA"/>
    <w:rsid w:val="00DA25F2"/>
    <w:rsid w:val="00DA7E8E"/>
    <w:rsid w:val="00DB72E6"/>
    <w:rsid w:val="00DC51CA"/>
    <w:rsid w:val="00DD0D48"/>
    <w:rsid w:val="00DD225C"/>
    <w:rsid w:val="00DD321E"/>
    <w:rsid w:val="00DE0472"/>
    <w:rsid w:val="00DE0E63"/>
    <w:rsid w:val="00DE28BD"/>
    <w:rsid w:val="00DE3D03"/>
    <w:rsid w:val="00DE7047"/>
    <w:rsid w:val="00DF1587"/>
    <w:rsid w:val="00E0133A"/>
    <w:rsid w:val="00E0440F"/>
    <w:rsid w:val="00E05FE2"/>
    <w:rsid w:val="00E21063"/>
    <w:rsid w:val="00E27ADB"/>
    <w:rsid w:val="00E351C0"/>
    <w:rsid w:val="00E37C62"/>
    <w:rsid w:val="00E5522E"/>
    <w:rsid w:val="00E56D3D"/>
    <w:rsid w:val="00E64FA3"/>
    <w:rsid w:val="00E701D7"/>
    <w:rsid w:val="00E72365"/>
    <w:rsid w:val="00E737F7"/>
    <w:rsid w:val="00E75FA3"/>
    <w:rsid w:val="00E76B37"/>
    <w:rsid w:val="00EA546A"/>
    <w:rsid w:val="00EA5590"/>
    <w:rsid w:val="00EA620F"/>
    <w:rsid w:val="00EA734E"/>
    <w:rsid w:val="00EB062C"/>
    <w:rsid w:val="00EB19A9"/>
    <w:rsid w:val="00EC3E4C"/>
    <w:rsid w:val="00EC685E"/>
    <w:rsid w:val="00ED3C7E"/>
    <w:rsid w:val="00ED4D2D"/>
    <w:rsid w:val="00ED7B28"/>
    <w:rsid w:val="00ED7EA4"/>
    <w:rsid w:val="00EE1D99"/>
    <w:rsid w:val="00EE6929"/>
    <w:rsid w:val="00EF3AE7"/>
    <w:rsid w:val="00EF69D9"/>
    <w:rsid w:val="00F15B30"/>
    <w:rsid w:val="00F16BF5"/>
    <w:rsid w:val="00F261E0"/>
    <w:rsid w:val="00F26AF7"/>
    <w:rsid w:val="00F431CC"/>
    <w:rsid w:val="00F44316"/>
    <w:rsid w:val="00F44B6F"/>
    <w:rsid w:val="00F5789C"/>
    <w:rsid w:val="00F60A03"/>
    <w:rsid w:val="00F66D82"/>
    <w:rsid w:val="00F67DE5"/>
    <w:rsid w:val="00F716A3"/>
    <w:rsid w:val="00F72442"/>
    <w:rsid w:val="00F739FD"/>
    <w:rsid w:val="00F77F59"/>
    <w:rsid w:val="00F955DB"/>
    <w:rsid w:val="00FB6FB6"/>
    <w:rsid w:val="00FB76D2"/>
    <w:rsid w:val="00FC3E35"/>
    <w:rsid w:val="00FD48F1"/>
    <w:rsid w:val="00FD546E"/>
    <w:rsid w:val="00FF157A"/>
    <w:rsid w:val="7FEA1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20"/>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character" w:customStyle="1" w:styleId="normaltextrun">
    <w:name w:val="normaltextrun"/>
    <w:basedOn w:val="DefaultParagraphFont"/>
    <w:rsid w:val="00182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158152880">
      <w:bodyDiv w:val="1"/>
      <w:marLeft w:val="0"/>
      <w:marRight w:val="0"/>
      <w:marTop w:val="0"/>
      <w:marBottom w:val="0"/>
      <w:divBdr>
        <w:top w:val="none" w:sz="0" w:space="0" w:color="auto"/>
        <w:left w:val="none" w:sz="0" w:space="0" w:color="auto"/>
        <w:bottom w:val="none" w:sz="0" w:space="0" w:color="auto"/>
        <w:right w:val="none" w:sz="0" w:space="0" w:color="auto"/>
      </w:divBdr>
    </w:div>
    <w:div w:id="184563281">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502861720">
      <w:bodyDiv w:val="1"/>
      <w:marLeft w:val="0"/>
      <w:marRight w:val="0"/>
      <w:marTop w:val="0"/>
      <w:marBottom w:val="0"/>
      <w:divBdr>
        <w:top w:val="none" w:sz="0" w:space="0" w:color="auto"/>
        <w:left w:val="none" w:sz="0" w:space="0" w:color="auto"/>
        <w:bottom w:val="none" w:sz="0" w:space="0" w:color="auto"/>
        <w:right w:val="none" w:sz="0" w:space="0" w:color="auto"/>
      </w:divBdr>
    </w:div>
    <w:div w:id="810370202">
      <w:bodyDiv w:val="1"/>
      <w:marLeft w:val="0"/>
      <w:marRight w:val="0"/>
      <w:marTop w:val="0"/>
      <w:marBottom w:val="0"/>
      <w:divBdr>
        <w:top w:val="none" w:sz="0" w:space="0" w:color="auto"/>
        <w:left w:val="none" w:sz="0" w:space="0" w:color="auto"/>
        <w:bottom w:val="none" w:sz="0" w:space="0" w:color="auto"/>
        <w:right w:val="none" w:sz="0" w:space="0" w:color="auto"/>
      </w:divBdr>
    </w:div>
    <w:div w:id="862325620">
      <w:bodyDiv w:val="1"/>
      <w:marLeft w:val="0"/>
      <w:marRight w:val="0"/>
      <w:marTop w:val="0"/>
      <w:marBottom w:val="0"/>
      <w:divBdr>
        <w:top w:val="none" w:sz="0" w:space="0" w:color="auto"/>
        <w:left w:val="none" w:sz="0" w:space="0" w:color="auto"/>
        <w:bottom w:val="none" w:sz="0" w:space="0" w:color="auto"/>
        <w:right w:val="none" w:sz="0" w:space="0" w:color="auto"/>
      </w:divBdr>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021323282">
      <w:bodyDiv w:val="1"/>
      <w:marLeft w:val="0"/>
      <w:marRight w:val="0"/>
      <w:marTop w:val="0"/>
      <w:marBottom w:val="0"/>
      <w:divBdr>
        <w:top w:val="none" w:sz="0" w:space="0" w:color="auto"/>
        <w:left w:val="none" w:sz="0" w:space="0" w:color="auto"/>
        <w:bottom w:val="none" w:sz="0" w:space="0" w:color="auto"/>
        <w:right w:val="none" w:sz="0" w:space="0" w:color="auto"/>
      </w:divBdr>
    </w:div>
    <w:div w:id="1025443858">
      <w:bodyDiv w:val="1"/>
      <w:marLeft w:val="0"/>
      <w:marRight w:val="0"/>
      <w:marTop w:val="0"/>
      <w:marBottom w:val="0"/>
      <w:divBdr>
        <w:top w:val="none" w:sz="0" w:space="0" w:color="auto"/>
        <w:left w:val="none" w:sz="0" w:space="0" w:color="auto"/>
        <w:bottom w:val="none" w:sz="0" w:space="0" w:color="auto"/>
        <w:right w:val="none" w:sz="0" w:space="0" w:color="auto"/>
      </w:divBdr>
    </w:div>
    <w:div w:id="1039086508">
      <w:bodyDiv w:val="1"/>
      <w:marLeft w:val="0"/>
      <w:marRight w:val="0"/>
      <w:marTop w:val="0"/>
      <w:marBottom w:val="0"/>
      <w:divBdr>
        <w:top w:val="none" w:sz="0" w:space="0" w:color="auto"/>
        <w:left w:val="none" w:sz="0" w:space="0" w:color="auto"/>
        <w:bottom w:val="none" w:sz="0" w:space="0" w:color="auto"/>
        <w:right w:val="none" w:sz="0" w:space="0" w:color="auto"/>
      </w:divBdr>
    </w:div>
    <w:div w:id="1226454322">
      <w:bodyDiv w:val="1"/>
      <w:marLeft w:val="0"/>
      <w:marRight w:val="0"/>
      <w:marTop w:val="0"/>
      <w:marBottom w:val="0"/>
      <w:divBdr>
        <w:top w:val="none" w:sz="0" w:space="0" w:color="auto"/>
        <w:left w:val="none" w:sz="0" w:space="0" w:color="auto"/>
        <w:bottom w:val="none" w:sz="0" w:space="0" w:color="auto"/>
        <w:right w:val="none" w:sz="0" w:space="0" w:color="auto"/>
      </w:divBdr>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274439677">
      <w:bodyDiv w:val="1"/>
      <w:marLeft w:val="0"/>
      <w:marRight w:val="0"/>
      <w:marTop w:val="0"/>
      <w:marBottom w:val="0"/>
      <w:divBdr>
        <w:top w:val="none" w:sz="0" w:space="0" w:color="auto"/>
        <w:left w:val="none" w:sz="0" w:space="0" w:color="auto"/>
        <w:bottom w:val="none" w:sz="0" w:space="0" w:color="auto"/>
        <w:right w:val="none" w:sz="0" w:space="0" w:color="auto"/>
      </w:divBdr>
    </w:div>
    <w:div w:id="1298611494">
      <w:bodyDiv w:val="1"/>
      <w:marLeft w:val="0"/>
      <w:marRight w:val="0"/>
      <w:marTop w:val="0"/>
      <w:marBottom w:val="0"/>
      <w:divBdr>
        <w:top w:val="none" w:sz="0" w:space="0" w:color="auto"/>
        <w:left w:val="none" w:sz="0" w:space="0" w:color="auto"/>
        <w:bottom w:val="none" w:sz="0" w:space="0" w:color="auto"/>
        <w:right w:val="none" w:sz="0" w:space="0" w:color="auto"/>
      </w:divBdr>
    </w:div>
    <w:div w:id="1368481106">
      <w:bodyDiv w:val="1"/>
      <w:marLeft w:val="0"/>
      <w:marRight w:val="0"/>
      <w:marTop w:val="0"/>
      <w:marBottom w:val="0"/>
      <w:divBdr>
        <w:top w:val="none" w:sz="0" w:space="0" w:color="auto"/>
        <w:left w:val="none" w:sz="0" w:space="0" w:color="auto"/>
        <w:bottom w:val="none" w:sz="0" w:space="0" w:color="auto"/>
        <w:right w:val="none" w:sz="0" w:space="0" w:color="auto"/>
      </w:divBdr>
    </w:div>
    <w:div w:id="1379160711">
      <w:bodyDiv w:val="1"/>
      <w:marLeft w:val="0"/>
      <w:marRight w:val="0"/>
      <w:marTop w:val="0"/>
      <w:marBottom w:val="0"/>
      <w:divBdr>
        <w:top w:val="none" w:sz="0" w:space="0" w:color="auto"/>
        <w:left w:val="none" w:sz="0" w:space="0" w:color="auto"/>
        <w:bottom w:val="none" w:sz="0" w:space="0" w:color="auto"/>
        <w:right w:val="none" w:sz="0" w:space="0" w:color="auto"/>
      </w:divBdr>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605530513">
      <w:bodyDiv w:val="1"/>
      <w:marLeft w:val="0"/>
      <w:marRight w:val="0"/>
      <w:marTop w:val="0"/>
      <w:marBottom w:val="0"/>
      <w:divBdr>
        <w:top w:val="none" w:sz="0" w:space="0" w:color="auto"/>
        <w:left w:val="none" w:sz="0" w:space="0" w:color="auto"/>
        <w:bottom w:val="none" w:sz="0" w:space="0" w:color="auto"/>
        <w:right w:val="none" w:sz="0" w:space="0" w:color="auto"/>
      </w:divBdr>
    </w:div>
    <w:div w:id="1662005058">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 w:id="1819570220">
      <w:bodyDiv w:val="1"/>
      <w:marLeft w:val="0"/>
      <w:marRight w:val="0"/>
      <w:marTop w:val="0"/>
      <w:marBottom w:val="0"/>
      <w:divBdr>
        <w:top w:val="none" w:sz="0" w:space="0" w:color="auto"/>
        <w:left w:val="none" w:sz="0" w:space="0" w:color="auto"/>
        <w:bottom w:val="none" w:sz="0" w:space="0" w:color="auto"/>
        <w:right w:val="none" w:sz="0" w:space="0" w:color="auto"/>
      </w:divBdr>
    </w:div>
    <w:div w:id="2021927486">
      <w:bodyDiv w:val="1"/>
      <w:marLeft w:val="0"/>
      <w:marRight w:val="0"/>
      <w:marTop w:val="0"/>
      <w:marBottom w:val="0"/>
      <w:divBdr>
        <w:top w:val="none" w:sz="0" w:space="0" w:color="auto"/>
        <w:left w:val="none" w:sz="0" w:space="0" w:color="auto"/>
        <w:bottom w:val="none" w:sz="0" w:space="0" w:color="auto"/>
        <w:right w:val="none" w:sz="0" w:space="0" w:color="auto"/>
      </w:divBdr>
    </w:div>
    <w:div w:id="2034072551">
      <w:bodyDiv w:val="1"/>
      <w:marLeft w:val="0"/>
      <w:marRight w:val="0"/>
      <w:marTop w:val="0"/>
      <w:marBottom w:val="0"/>
      <w:divBdr>
        <w:top w:val="none" w:sz="0" w:space="0" w:color="auto"/>
        <w:left w:val="none" w:sz="0" w:space="0" w:color="auto"/>
        <w:bottom w:val="none" w:sz="0" w:space="0" w:color="auto"/>
        <w:right w:val="none" w:sz="0" w:space="0" w:color="auto"/>
      </w:divBdr>
    </w:div>
    <w:div w:id="2093159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wildyr/assignment2"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ncbi.nlm.nih.gov/geo/query/acc.cgi?acc=GSE217504"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038/s41392-023-01510-8"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doi.org/10.1186/s13054-020-03120-0" TargetMode="External"/><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ithub.com/wildyr/assignment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header" Target="head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18E52-4B0C-45E8-947C-1BCF05C8E346}">
  <ds:schemaRefs>
    <ds:schemaRef ds:uri="http://schemas.microsoft.com/sharepoint/v3/contenttype/forms"/>
  </ds:schemaRefs>
</ds:datastoreItem>
</file>

<file path=customXml/itemProps2.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A0C90D9-1779-47F1-AAD3-7F428680B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1236</Words>
  <Characters>7763</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bhanson</dc:creator>
  <cp:lastModifiedBy>Robert Wildy</cp:lastModifiedBy>
  <cp:revision>4</cp:revision>
  <cp:lastPrinted>2018-01-11T18:39:00Z</cp:lastPrinted>
  <dcterms:created xsi:type="dcterms:W3CDTF">2024-12-12T01:23:00Z</dcterms:created>
  <dcterms:modified xsi:type="dcterms:W3CDTF">2024-12-12T01:48:00Z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ies>
</file>