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59" w:lineRule="auto"/>
        <w:jc w:val="center"/>
      </w:pPr>
      <w:r>
        <w:rPr>
          <w:rFonts w:ascii="Aptos" w:hAnsi="Aptos"/>
          <w:b/>
          <w:i w:val="0"/>
          <w:sz w:val="44"/>
        </w:rPr>
        <w:t>speechtelemetry</w:t>
        <w:br/>
      </w:r>
      <w:r>
        <w:rPr>
          <w:rFonts w:ascii="Aptos" w:hAnsi="Aptos"/>
          <w:b/>
          <w:i w:val="0"/>
          <w:sz w:val="32"/>
        </w:rPr>
        <w:t>Developer Workflow &amp; AI Agent Playbook</w:t>
      </w:r>
    </w:p>
    <w:p>
      <w:pPr>
        <w:spacing w:after="360" w:before="0" w:line="259" w:lineRule="auto"/>
        <w:jc w:val="center"/>
      </w:pPr>
      <w:r>
        <w:rPr>
          <w:rFonts w:ascii="Aptos" w:hAnsi="Aptos"/>
          <w:i/>
          <w:sz w:val="21"/>
        </w:rPr>
        <w:t>Version 0.1 | May 2026</w:t>
      </w:r>
    </w:p>
    <w:p>
      <w:pPr>
        <w:pStyle w:val="Heading1"/>
        <w:spacing w:after="80" w:before="0" w:line="259" w:lineRule="auto"/>
      </w:pPr>
      <w:r>
        <w:t>Purpose and scope</w:t>
      </w:r>
    </w:p>
    <w:p>
      <w:pPr>
        <w:spacing w:after="120" w:before="0" w:line="259" w:lineRule="auto"/>
      </w:pPr>
      <w:r>
        <w:t>This document is the operational layer between the architecture reference, the developer reference, and the library spec. It explains how humans and AI agents should move from a requested change to a correct, reviewed, testable implementation without breaking the library-first, local-first design.</w:t>
      </w:r>
    </w:p>
    <w:p>
      <w:pPr>
        <w:spacing w:after="120" w:before="0" w:line="259" w:lineRule="auto"/>
      </w:pPr>
      <w:r>
        <w:t>It does not redefine product scope, API contracts, or layer boundaries. Those remain authoritative in the spec, architecture reference, and developer reference. This playbook only tells contributors how to work inside those rules.</w:t>
      </w:r>
    </w:p>
    <w:p>
      <w:pPr>
        <w:pStyle w:val="Heading1"/>
        <w:spacing w:after="80" w:before="0" w:line="259" w:lineRule="auto"/>
      </w:pPr>
      <w:r>
        <w:t>Source-of-truth order</w:t>
      </w:r>
    </w:p>
    <w:tbl>
      <w:tblPr>
        <w:tblStyle w:val="TableGrid"/>
        <w:tblW w:type="auto" w:w="0"/>
        <w:tblLook w:firstColumn="1" w:firstRow="1" w:lastColumn="0" w:lastRow="0" w:noHBand="0" w:noVBand="1" w:val="04A0"/>
      </w:tblPr>
      <w:tblGrid>
        <w:gridCol w:w="4896"/>
        <w:gridCol w:w="4896"/>
      </w:tblGrid>
      <w:tr>
        <w:tc>
          <w:tcPr>
            <w:tcW w:type="dxa" w:w="4896"/>
          </w:tcPr>
          <w:p>
            <w:r>
              <w:t>Priority</w:t>
            </w:r>
          </w:p>
        </w:tc>
        <w:tc>
          <w:tcPr>
            <w:tcW w:type="dxa" w:w="4896"/>
          </w:tcPr>
          <w:p>
            <w:r>
              <w:t>Use this for</w:t>
            </w:r>
          </w:p>
        </w:tc>
      </w:tr>
      <w:tr>
        <w:tc>
          <w:tcPr>
            <w:tcW w:type="dxa" w:w="4896"/>
          </w:tcPr>
          <w:p>
            <w:r>
              <w:t>1</w:t>
            </w:r>
          </w:p>
        </w:tc>
        <w:tc>
          <w:tcPr>
            <w:tcW w:type="dxa" w:w="4896"/>
          </w:tcPr>
          <w:p>
            <w:r>
              <w:t>Product intent, scope, and non-goals</w:t>
            </w:r>
          </w:p>
        </w:tc>
      </w:tr>
      <w:tr>
        <w:tc>
          <w:tcPr>
            <w:tcW w:type="dxa" w:w="4896"/>
          </w:tcPr>
          <w:p>
            <w:r>
              <w:t>2</w:t>
            </w:r>
          </w:p>
        </w:tc>
        <w:tc>
          <w:tcPr>
            <w:tcW w:type="dxa" w:w="4896"/>
          </w:tcPr>
          <w:p>
            <w:r>
              <w:t>Layering, dependency direction, and extension rules</w:t>
            </w:r>
          </w:p>
        </w:tc>
      </w:tr>
      <w:tr>
        <w:tc>
          <w:tcPr>
            <w:tcW w:type="dxa" w:w="4896"/>
          </w:tcPr>
          <w:p>
            <w:r>
              <w:t>3</w:t>
            </w:r>
          </w:p>
        </w:tc>
        <w:tc>
          <w:tcPr>
            <w:tcW w:type="dxa" w:w="4896"/>
          </w:tcPr>
          <w:p>
            <w:r>
              <w:t>Exact backend APIs, install commands, caveats, and defaults</w:t>
            </w:r>
          </w:p>
        </w:tc>
      </w:tr>
      <w:tr>
        <w:tc>
          <w:tcPr>
            <w:tcW w:type="dxa" w:w="4896"/>
          </w:tcPr>
          <w:p>
            <w:r>
              <w:t>4</w:t>
            </w:r>
          </w:p>
        </w:tc>
        <w:tc>
          <w:tcPr>
            <w:tcW w:type="dxa" w:w="4896"/>
          </w:tcPr>
          <w:p>
            <w:r>
              <w:t>This workflow playbook for change execution and review</w:t>
            </w:r>
          </w:p>
        </w:tc>
      </w:tr>
      <w:tr>
        <w:tc>
          <w:tcPr>
            <w:tcW w:type="dxa" w:w="4896"/>
          </w:tcPr>
          <w:p>
            <w:r>
              <w:t>5</w:t>
            </w:r>
          </w:p>
        </w:tc>
        <w:tc>
          <w:tcPr>
            <w:tcW w:type="dxa" w:w="4896"/>
          </w:tcPr>
          <w:p>
            <w:r>
              <w:t>Code, tests, fixtures, and generated artifacts</w:t>
            </w:r>
          </w:p>
        </w:tc>
      </w:tr>
    </w:tbl>
    <w:p>
      <w:pPr>
        <w:pStyle w:val="Heading1"/>
        <w:spacing w:after="80" w:before="0" w:line="259" w:lineRule="auto"/>
      </w:pPr>
      <w:r>
        <w:t>Working rules</w:t>
      </w:r>
    </w:p>
    <w:p>
      <w:pPr>
        <w:pStyle w:val="ListBullet"/>
        <w:spacing w:after="40" w:before="0" w:line="259" w:lineRule="auto"/>
      </w:pPr>
      <w:r>
        <w:t>Keep changes library-first. CLI and examples must never contain business logic that is absent from the library.</w:t>
      </w:r>
    </w:p>
    <w:p>
      <w:pPr>
        <w:pStyle w:val="ListBullet"/>
        <w:spacing w:after="40" w:before="0" w:line="259" w:lineRule="auto"/>
      </w:pPr>
      <w:r>
        <w:t>Keep dependencies flowing inward. Do not add imports from outer layers into inner layers.</w:t>
      </w:r>
    </w:p>
    <w:p>
      <w:pPr>
        <w:pStyle w:val="ListBullet"/>
        <w:spacing w:after="40" w:before="0" w:line="259" w:lineRule="auto"/>
      </w:pPr>
      <w:r>
        <w:t>Prefer fail-soft behavior. Return partial results with recorded errors instead of hard crashes when the architecture allows it.</w:t>
      </w:r>
    </w:p>
    <w:p>
      <w:pPr>
        <w:pStyle w:val="ListBullet"/>
        <w:spacing w:after="40" w:before="0" w:line="259" w:lineRule="auto"/>
      </w:pPr>
      <w:r>
        <w:t>Keep outputs explicit. Backend provenance, timing, and failure state belong in the result object, not in hidden logs.</w:t>
      </w:r>
    </w:p>
    <w:p>
      <w:pPr>
        <w:pStyle w:val="ListBullet"/>
        <w:spacing w:after="40" w:before="0" w:line="259" w:lineRule="auto"/>
      </w:pPr>
      <w:r>
        <w:t>Keep the runtime local-first. No new mandatory network calls, tokens, or external services unless the spec is updated first.</w:t>
      </w:r>
    </w:p>
    <w:p>
      <w:pPr>
        <w:pStyle w:val="Heading1"/>
        <w:spacing w:after="80" w:before="0" w:line="259" w:lineRule="auto"/>
      </w:pPr>
      <w:r>
        <w:t>Standard implementation loop</w:t>
      </w:r>
    </w:p>
    <w:p>
      <w:pPr>
        <w:pStyle w:val="ListBullet"/>
        <w:spacing w:after="40" w:before="0" w:line="259" w:lineRule="auto"/>
      </w:pPr>
      <w:r>
        <w:t>Identify the smallest change that solves the request. Write down the target stage, files, and expected output.</w:t>
      </w:r>
    </w:p>
    <w:p>
      <w:pPr>
        <w:pStyle w:val="ListBullet"/>
        <w:spacing w:after="40" w:before="0" w:line="259" w:lineRule="auto"/>
      </w:pPr>
      <w:r>
        <w:t>Check the spec, architecture reference, and developer reference for existing contracts, defaults, and constraints before editing code.</w:t>
      </w:r>
    </w:p>
    <w:p>
      <w:pPr>
        <w:pStyle w:val="ListBullet"/>
        <w:spacing w:after="40" w:before="0" w:line="259" w:lineRule="auto"/>
      </w:pPr>
      <w:r>
        <w:t>Edit the innermost layer first: types, interfaces, or backend code. Move outward only after the core contract is correct.</w:t>
      </w:r>
    </w:p>
    <w:p>
      <w:pPr>
        <w:pStyle w:val="ListBullet"/>
        <w:spacing w:after="40" w:before="0" w:line="259" w:lineRule="auto"/>
      </w:pPr>
      <w:r>
        <w:t>Update registry, orchestration, exporters, CLI, examples, and docs only when the change truly needs them.</w:t>
      </w:r>
    </w:p>
    <w:p>
      <w:pPr>
        <w:pStyle w:val="ListBullet"/>
        <w:spacing w:after="40" w:before="0" w:line="259" w:lineRule="auto"/>
      </w:pPr>
      <w:r>
        <w:t>Add or update tests before considering the change complete. A new backend or bug fix without tests is unfinished.</w:t>
      </w:r>
    </w:p>
    <w:p>
      <w:pPr>
        <w:pStyle w:val="ListBullet"/>
        <w:spacing w:after="40" w:before="0" w:line="259" w:lineRule="auto"/>
      </w:pPr>
      <w:r>
        <w:t>Run the project validation path that matches the change: unit tests, fixture-based integration tests, and any relevant benchmark checks.</w:t>
      </w:r>
    </w:p>
    <w:p>
      <w:pPr>
        <w:pStyle w:val="ListBullet"/>
        <w:spacing w:after="40" w:before="0" w:line="259" w:lineRule="auto"/>
      </w:pPr>
      <w:r>
        <w:t>Review the rendered or serialized output, not just the code diff. For document or export changes, inspect the actual artifact.</w:t>
      </w:r>
    </w:p>
    <w:p>
      <w:pPr>
        <w:pStyle w:val="Heading1"/>
        <w:spacing w:after="80" w:before="0" w:line="259" w:lineRule="auto"/>
      </w:pPr>
      <w:r>
        <w:t>Change playbooks</w:t>
      </w:r>
    </w:p>
    <w:p>
      <w:pPr>
        <w:pStyle w:val="Heading2"/>
        <w:spacing w:after="40" w:before="0" w:line="259" w:lineRule="auto"/>
      </w:pPr>
      <w:r>
        <w:t>Adding a new backend</w:t>
      </w:r>
    </w:p>
    <w:p>
      <w:pPr>
        <w:pStyle w:val="ListBullet"/>
        <w:spacing w:after="40" w:before="0" w:line="259" w:lineRule="auto"/>
      </w:pPr>
      <w:r>
        <w:t>Create the backend module in the correct stage directory.</w:t>
      </w:r>
    </w:p>
    <w:p>
      <w:pPr>
        <w:pStyle w:val="ListBullet"/>
        <w:spacing w:after="40" w:before="0" w:line="259" w:lineRule="auto"/>
      </w:pPr>
      <w:r>
        <w:t>Match the stage contract exactly, including method name, parameters, and return shape.</w:t>
      </w:r>
    </w:p>
    <w:p>
      <w:pPr>
        <w:pStyle w:val="ListBullet"/>
        <w:spacing w:after="40" w:before="0" w:line="259" w:lineRule="auto"/>
      </w:pPr>
      <w:r>
        <w:t>Guard optional imports and raise a clear availability error with installation guidance.</w:t>
      </w:r>
    </w:p>
    <w:p>
      <w:pPr>
        <w:pStyle w:val="ListBullet"/>
        <w:spacing w:after="40" w:before="0" w:line="259" w:lineRule="auto"/>
      </w:pPr>
      <w:r>
        <w:t>Register the backend in registry.py and add any required config option with a sensible default.</w:t>
      </w:r>
    </w:p>
    <w:p>
      <w:pPr>
        <w:pStyle w:val="ListBullet"/>
        <w:spacing w:after="40" w:before="0" w:line="259" w:lineRule="auto"/>
      </w:pPr>
      <w:r>
        <w:t>Add a fixture-backed test that exercises the backend through the public orchestration path.</w:t>
      </w:r>
    </w:p>
    <w:p>
      <w:pPr>
        <w:pStyle w:val="Heading2"/>
        <w:spacing w:after="40" w:before="0" w:line="259" w:lineRule="auto"/>
      </w:pPr>
      <w:r>
        <w:t>Adding a new output field</w:t>
      </w:r>
    </w:p>
    <w:p>
      <w:pPr>
        <w:pStyle w:val="ListBullet"/>
        <w:spacing w:after="40" w:before="0" w:line="259" w:lineRule="auto"/>
      </w:pPr>
      <w:r>
        <w:t>Update the canonical schema first so every consumer sees the same shape.</w:t>
      </w:r>
    </w:p>
    <w:p>
      <w:pPr>
        <w:pStyle w:val="ListBullet"/>
        <w:spacing w:after="40" w:before="0" w:line="259" w:lineRule="auto"/>
      </w:pPr>
      <w:r>
        <w:t>Add provenance and nullability explicitly; never encode missing data as a sentinel string.</w:t>
      </w:r>
    </w:p>
    <w:p>
      <w:pPr>
        <w:pStyle w:val="ListBullet"/>
        <w:spacing w:after="40" w:before="0" w:line="259" w:lineRule="auto"/>
      </w:pPr>
      <w:r>
        <w:t>Update exporters that should preserve or intentionally drop the field.</w:t>
      </w:r>
    </w:p>
    <w:p>
      <w:pPr>
        <w:pStyle w:val="ListBullet"/>
        <w:spacing w:after="40" w:before="0" w:line="259" w:lineRule="auto"/>
      </w:pPr>
      <w:r>
        <w:t>Add round-trip or schema tests so the field does not disappear in serialization.</w:t>
      </w:r>
    </w:p>
    <w:p>
      <w:pPr>
        <w:pStyle w:val="Heading2"/>
        <w:spacing w:after="40" w:before="0" w:line="259" w:lineRule="auto"/>
      </w:pPr>
      <w:r>
        <w:t>Changing orchestration or fail-soft behavior</w:t>
      </w:r>
    </w:p>
    <w:p>
      <w:pPr>
        <w:pStyle w:val="ListBullet"/>
        <w:spacing w:after="40" w:before="0" w:line="259" w:lineRule="auto"/>
      </w:pPr>
      <w:r>
        <w:t>Change core/pipeline.py only when the stage order or error policy truly changes.</w:t>
      </w:r>
    </w:p>
    <w:p>
      <w:pPr>
        <w:pStyle w:val="ListBullet"/>
        <w:spacing w:after="40" w:before="0" w:line="259" w:lineRule="auto"/>
      </w:pPr>
      <w:r>
        <w:t>Keep stage failures isolated and recorded. Do not let one failed optional stage stop unrelated stages.</w:t>
      </w:r>
    </w:p>
    <w:p>
      <w:pPr>
        <w:pStyle w:val="ListBullet"/>
        <w:spacing w:after="40" w:before="0" w:line="259" w:lineRule="auto"/>
      </w:pPr>
      <w:r>
        <w:t>Preserve the pre-flight checks for mandatory prerequisites such as FFmpeg and required tokens.</w:t>
      </w:r>
    </w:p>
    <w:p>
      <w:pPr>
        <w:pStyle w:val="Heading2"/>
        <w:spacing w:after="40" w:before="0" w:line="259" w:lineRule="auto"/>
      </w:pPr>
      <w:r>
        <w:t>Docs-only changes</w:t>
      </w:r>
    </w:p>
    <w:p>
      <w:pPr>
        <w:pStyle w:val="ListBullet"/>
        <w:spacing w:after="40" w:before="0" w:line="259" w:lineRule="auto"/>
      </w:pPr>
      <w:r>
        <w:t>Do not change code just to match wording unless the document exposes a real behavior mismatch.</w:t>
      </w:r>
    </w:p>
    <w:p>
      <w:pPr>
        <w:pStyle w:val="ListBullet"/>
        <w:spacing w:after="40" w:before="0" w:line="259" w:lineRule="auto"/>
      </w:pPr>
      <w:r>
        <w:t>Update the smallest document that owns the statement. Do not duplicate guidance across multiple docs unless the same rule appears in multiple contexts.</w:t>
      </w:r>
    </w:p>
    <w:p>
      <w:pPr>
        <w:pStyle w:val="ListBullet"/>
        <w:spacing w:after="40" w:before="0" w:line="259" w:lineRule="auto"/>
      </w:pPr>
      <w:r>
        <w:t>If a document disagrees with code, treat that as a defect and fix the mismatch explicitly.</w:t>
      </w:r>
    </w:p>
    <w:p>
      <w:pPr>
        <w:pStyle w:val="Heading1"/>
        <w:spacing w:after="80" w:before="0" w:line="259" w:lineRule="auto"/>
      </w:pPr>
      <w:r>
        <w:t>AI agent operating rules</w:t>
      </w:r>
    </w:p>
    <w:p>
      <w:pPr>
        <w:pStyle w:val="ListBullet"/>
        <w:spacing w:after="40" w:before="0" w:line="259" w:lineRule="auto"/>
      </w:pPr>
      <w:r>
        <w:t>Never invent an API, backend, model, or file path that is not already present in the source docs or repository.</w:t>
      </w:r>
    </w:p>
    <w:p>
      <w:pPr>
        <w:pStyle w:val="ListBullet"/>
        <w:spacing w:after="40" w:before="0" w:line="259" w:lineRule="auto"/>
      </w:pPr>
      <w:r>
        <w:t>When a change touches multiple layers, summarize the dependency chain before editing so the plan stays aligned with the architecture.</w:t>
      </w:r>
    </w:p>
    <w:p>
      <w:pPr>
        <w:pStyle w:val="ListBullet"/>
        <w:spacing w:after="40" w:before="0" w:line="259" w:lineRule="auto"/>
      </w:pPr>
      <w:r>
        <w:t>Prefer narrow edits over broad refactors. Preserve unrelated behavior unless the task explicitly asks for restructuring.</w:t>
      </w:r>
    </w:p>
    <w:p>
      <w:pPr>
        <w:pStyle w:val="ListBullet"/>
        <w:spacing w:after="40" w:before="0" w:line="259" w:lineRule="auto"/>
      </w:pPr>
      <w:r>
        <w:t>Call out uncertainty immediately. If the docs do not settle a point, stop and label the assumption instead of silently guessing.</w:t>
      </w:r>
    </w:p>
    <w:p>
      <w:pPr>
        <w:pStyle w:val="ListBullet"/>
        <w:spacing w:after="40" w:before="0" w:line="259" w:lineRule="auto"/>
      </w:pPr>
      <w:r>
        <w:t>Do not ask for extra clarification when the existing docs already provide a safe default. Make the best correct change that fits the documented contract.</w:t>
      </w:r>
    </w:p>
    <w:p>
      <w:pPr>
        <w:pStyle w:val="Heading1"/>
        <w:spacing w:after="80" w:before="0" w:line="259" w:lineRule="auto"/>
      </w:pPr>
      <w:r>
        <w:t>Definition of done</w:t>
      </w:r>
    </w:p>
    <w:p>
      <w:pPr>
        <w:pStyle w:val="ListBullet"/>
        <w:spacing w:after="40" w:before="0" w:line="259" w:lineRule="auto"/>
      </w:pPr>
      <w:r>
        <w:t>The code builds and the relevant tests pass.</w:t>
      </w:r>
    </w:p>
    <w:p>
      <w:pPr>
        <w:pStyle w:val="ListBullet"/>
        <w:spacing w:after="40" w:before="0" w:line="259" w:lineRule="auto"/>
      </w:pPr>
      <w:r>
        <w:t>The result objects and exported files reflect the documented schema.</w:t>
      </w:r>
    </w:p>
    <w:p>
      <w:pPr>
        <w:pStyle w:val="ListBullet"/>
        <w:spacing w:after="40" w:before="0" w:line="259" w:lineRule="auto"/>
      </w:pPr>
      <w:r>
        <w:t>Any new dependency, token, or license condition is documented in the correct reference.</w:t>
      </w:r>
    </w:p>
    <w:p>
      <w:pPr>
        <w:pStyle w:val="ListBullet"/>
        <w:spacing w:after="40" w:before="0" w:line="259" w:lineRule="auto"/>
      </w:pPr>
      <w:r>
        <w:t>The change does not violate layer boundaries or force a new runtime requirement.</w:t>
      </w:r>
    </w:p>
    <w:p>
      <w:pPr>
        <w:pStyle w:val="ListBullet"/>
        <w:spacing w:after="40" w:before="0" w:line="259" w:lineRule="auto"/>
      </w:pPr>
      <w:r>
        <w:t>A reviewer can understand what changed, why, and how it was verified without opening additional threads.</w:t>
      </w:r>
    </w:p>
    <w:p>
      <w:pPr>
        <w:pStyle w:val="Heading1"/>
        <w:spacing w:after="80" w:before="0" w:line="259" w:lineRule="auto"/>
      </w:pPr>
      <w:r>
        <w:t>PR handoff template</w:t>
      </w:r>
    </w:p>
    <w:p>
      <w:pPr>
        <w:spacing w:after="40" w:before="0" w:line="259" w:lineRule="auto"/>
      </w:pPr>
      <w:r>
        <w:rPr>
          <w:b/>
        </w:rPr>
        <w:t>Use this structure in the pull request description:</w:t>
      </w:r>
    </w:p>
    <w:p>
      <w:pPr>
        <w:pStyle w:val="ListBullet"/>
        <w:spacing w:after="40" w:before="0" w:line="259" w:lineRule="auto"/>
      </w:pPr>
      <w:r>
        <w:t>What changed</w:t>
      </w:r>
    </w:p>
    <w:p>
      <w:pPr>
        <w:pStyle w:val="ListBullet"/>
        <w:spacing w:after="40" w:before="0" w:line="259" w:lineRule="auto"/>
      </w:pPr>
      <w:r>
        <w:t>Why it changed</w:t>
      </w:r>
    </w:p>
    <w:p>
      <w:pPr>
        <w:pStyle w:val="ListBullet"/>
        <w:spacing w:after="40" w:before="0" w:line="259" w:lineRule="auto"/>
      </w:pPr>
      <w:r>
        <w:t>Files touched</w:t>
      </w:r>
    </w:p>
    <w:p>
      <w:pPr>
        <w:pStyle w:val="ListBullet"/>
        <w:spacing w:after="40" w:before="0" w:line="259" w:lineRule="auto"/>
      </w:pPr>
      <w:r>
        <w:t>Tests run</w:t>
      </w:r>
    </w:p>
    <w:p>
      <w:pPr>
        <w:pStyle w:val="ListBullet"/>
        <w:spacing w:after="40" w:before="0" w:line="259" w:lineRule="auto"/>
      </w:pPr>
      <w:r>
        <w:t>Risks or follow-ups</w:t>
      </w:r>
    </w:p>
    <w:p>
      <w:pPr>
        <w:pStyle w:val="ListBullet"/>
        <w:spacing w:after="40" w:before="0" w:line="259" w:lineRule="auto"/>
      </w:pPr>
      <w:r>
        <w:t>Any dependency, license, or environment impact</w:t>
      </w:r>
    </w:p>
    <w:p>
      <w:pPr>
        <w:pStyle w:val="Heading1"/>
        <w:spacing w:after="80" w:before="0" w:line="259" w:lineRule="auto"/>
      </w:pPr>
      <w:r>
        <w:t>Recommended review order</w:t>
      </w:r>
    </w:p>
    <w:p>
      <w:pPr>
        <w:spacing w:after="40" w:before="0" w:line="259" w:lineRule="auto"/>
      </w:pPr>
      <w:r>
        <w:t>1. Verify the public contract: result schema, config defaults, and backend names.</w:t>
      </w:r>
    </w:p>
    <w:p>
      <w:pPr>
        <w:spacing w:after="40" w:before="0" w:line="259" w:lineRule="auto"/>
      </w:pPr>
      <w:r>
        <w:t>2. Verify architecture: imports, layer boundaries, and registry behavior.</w:t>
      </w:r>
    </w:p>
    <w:p>
      <w:pPr>
        <w:spacing w:after="40" w:before="0" w:line="259" w:lineRule="auto"/>
      </w:pPr>
      <w:r>
        <w:t>3. Verify behavior: tests, fixtures, and serialized outputs.</w:t>
      </w:r>
    </w:p>
    <w:p>
      <w:pPr>
        <w:spacing w:after="40" w:before="0" w:line="259" w:lineRule="auto"/>
      </w:pPr>
      <w:r>
        <w:t>4. Verify usability: error messages, docs, and examples.</w:t>
      </w:r>
    </w:p>
    <w:p>
      <w:pPr>
        <w:pStyle w:val="Heading1"/>
        <w:spacing w:after="80" w:before="0" w:line="259" w:lineRule="auto"/>
      </w:pPr>
      <w:r>
        <w:t>Close-out checklist</w:t>
      </w:r>
    </w:p>
    <w:p>
      <w:pPr>
        <w:pStyle w:val="ListBullet"/>
        <w:spacing w:after="40" w:before="0" w:line="259" w:lineRule="auto"/>
      </w:pPr>
      <w:r>
        <w:t>No hidden import-time side effects were introduced.</w:t>
      </w:r>
    </w:p>
    <w:p>
      <w:pPr>
        <w:pStyle w:val="ListBullet"/>
        <w:spacing w:after="40" w:before="0" w:line="259" w:lineRule="auto"/>
      </w:pPr>
      <w:r>
        <w:t>No required dependency or network call was added accidentally.</w:t>
      </w:r>
    </w:p>
    <w:p>
      <w:pPr>
        <w:pStyle w:val="ListBullet"/>
        <w:spacing w:after="40" w:before="0" w:line="259" w:lineRule="auto"/>
      </w:pPr>
      <w:r>
        <w:t>No architecture rule was bent to make the implementation easier.</w:t>
      </w:r>
    </w:p>
    <w:p>
      <w:pPr>
        <w:pStyle w:val="ListBullet"/>
        <w:spacing w:after="40" w:before="0" w:line="259" w:lineRule="auto"/>
      </w:pPr>
      <w:r>
        <w:t>No test was skipped without a documented reason.</w:t>
      </w:r>
    </w:p>
    <w:p>
      <w:pPr>
        <w:pStyle w:val="ListBullet"/>
        <w:spacing w:after="40" w:before="0" w:line="259" w:lineRule="auto"/>
      </w:pPr>
      <w:r>
        <w:t>The resulting artifact is ready for a developer or AI agent to use without guessing.</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