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EA6B" w14:textId="77777777" w:rsidR="006178FB" w:rsidRDefault="006178FB" w:rsidP="006178FB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3F6C">
        <w:rPr>
          <w:rFonts w:ascii="Times New Roman" w:hAnsi="Times New Roman" w:cs="Times New Roman"/>
          <w:b/>
          <w:bCs/>
          <w:sz w:val="24"/>
          <w:szCs w:val="24"/>
        </w:rPr>
        <w:t>TANGGUNG JAWAB DARI REPOSITORI DIGITAL</w:t>
      </w:r>
    </w:p>
    <w:p w14:paraId="3CABE22A" w14:textId="77777777" w:rsidR="006178FB" w:rsidRDefault="006178FB" w:rsidP="006178FB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3F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kurator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digital. 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consortial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prosedurnya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keberhasilannya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masing-masing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103030" w14:textId="77777777" w:rsidR="006178FB" w:rsidRDefault="006178FB" w:rsidP="006178FB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>Faktor-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3F6C"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D156D7D" w14:textId="77777777" w:rsidR="006178FB" w:rsidRDefault="006178FB" w:rsidP="00617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</w:p>
    <w:p w14:paraId="6A163C42" w14:textId="77777777" w:rsidR="006178FB" w:rsidRPr="00E03F6C" w:rsidRDefault="006178FB" w:rsidP="00617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</w:p>
    <w:p w14:paraId="7212A6E3" w14:textId="77777777" w:rsidR="006178FB" w:rsidRPr="00E03F6C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</w:p>
    <w:p w14:paraId="5099366B" w14:textId="77777777" w:rsidR="006178FB" w:rsidRPr="00E03F6C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</w:p>
    <w:p w14:paraId="20C98CB3" w14:textId="77777777" w:rsidR="006178FB" w:rsidRPr="00E03F6C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</w:p>
    <w:p w14:paraId="6F278318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Implikasi</w:t>
      </w:r>
      <w:proofErr w:type="spellEnd"/>
    </w:p>
    <w:p w14:paraId="59DD2847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F0FAD" w14:textId="77777777" w:rsidR="006178FB" w:rsidRDefault="006178FB" w:rsidP="006178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3F6C">
        <w:rPr>
          <w:rFonts w:ascii="Times New Roman" w:hAnsi="Times New Roman" w:cs="Times New Roman"/>
          <w:b/>
          <w:bCs/>
          <w:sz w:val="24"/>
          <w:szCs w:val="24"/>
        </w:rPr>
        <w:t>TANGGUNG JAWAB OPERASIONAL</w:t>
      </w:r>
    </w:p>
    <w:p w14:paraId="1DE91832" w14:textId="77777777" w:rsidR="006178FB" w:rsidRDefault="006178FB" w:rsidP="006178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CPA/RLG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F6C">
        <w:rPr>
          <w:rFonts w:ascii="Times New Roman" w:hAnsi="Times New Roman" w:cs="Times New Roman"/>
          <w:sz w:val="24"/>
          <w:szCs w:val="24"/>
        </w:rPr>
        <w:t xml:space="preserve">digital. Model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OAIS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dapa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F6C">
        <w:rPr>
          <w:rFonts w:ascii="Times New Roman" w:hAnsi="Times New Roman" w:cs="Times New Roman"/>
          <w:sz w:val="24"/>
          <w:szCs w:val="24"/>
        </w:rPr>
        <w:t xml:space="preserve">digital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OAIS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OAIS,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2006C" w14:textId="77777777" w:rsidR="006178FB" w:rsidRDefault="006178FB" w:rsidP="006178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, review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kuratorial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metadata,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meanisme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9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E6E2EF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1. Adanya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 xml:space="preserve">guru,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widyaswara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seuah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</w:p>
    <w:p w14:paraId="2A9CD167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</w:p>
    <w:p w14:paraId="5D1A2985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 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A9A2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4. Adanya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38F48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5. Adanya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986B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B0989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</w:p>
    <w:p w14:paraId="610023DA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</w:p>
    <w:p w14:paraId="5D6C3A03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otentik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keasliannya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A5A70" w14:textId="77777777" w:rsidR="006178FB" w:rsidRDefault="006178FB" w:rsidP="006178FB">
      <w:pPr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>digital.</w:t>
      </w:r>
    </w:p>
    <w:p w14:paraId="6E6C29E4" w14:textId="77777777" w:rsidR="006178FB" w:rsidRDefault="006178FB" w:rsidP="006178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0989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internal pada masing-masing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 xml:space="preserve">di Indonesia sangat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SPARC.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RII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Indonesia)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digital.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(open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89">
        <w:rPr>
          <w:rFonts w:ascii="Times New Roman" w:hAnsi="Times New Roman" w:cs="Times New Roman"/>
          <w:sz w:val="24"/>
          <w:szCs w:val="24"/>
        </w:rPr>
        <w:t xml:space="preserve">access)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989">
        <w:rPr>
          <w:rFonts w:ascii="Times New Roman" w:hAnsi="Times New Roman" w:cs="Times New Roman"/>
          <w:sz w:val="24"/>
          <w:szCs w:val="24"/>
        </w:rPr>
        <w:t>.</w:t>
      </w:r>
    </w:p>
    <w:p w14:paraId="468FFA4D" w14:textId="77777777" w:rsidR="006178FB" w:rsidRPr="00C96A64" w:rsidRDefault="006178FB" w:rsidP="006178FB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3D8FD" w14:textId="77777777" w:rsidR="004F298A" w:rsidRDefault="004F298A"/>
    <w:sectPr w:rsidR="004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FB"/>
    <w:rsid w:val="00481875"/>
    <w:rsid w:val="004F298A"/>
    <w:rsid w:val="006178FB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022B"/>
  <w15:chartTrackingRefBased/>
  <w15:docId w15:val="{29EF54E7-32D8-48B3-9CE6-8727EEB3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2023-11-12T10:58:00Z</dcterms:created>
  <dcterms:modified xsi:type="dcterms:W3CDTF">2023-11-12T11:00:00Z</dcterms:modified>
</cp:coreProperties>
</file>