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C8CE" w14:textId="77777777" w:rsidR="009343CF" w:rsidRDefault="009343CF" w:rsidP="009343CF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5D69">
        <w:rPr>
          <w:rFonts w:ascii="Times New Roman" w:hAnsi="Times New Roman" w:cs="Times New Roman"/>
          <w:b/>
          <w:bCs/>
          <w:sz w:val="24"/>
          <w:szCs w:val="24"/>
        </w:rPr>
        <w:t>REPOSITORI DAN DATABASE</w:t>
      </w:r>
    </w:p>
    <w:p w14:paraId="215B5237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database. Dalam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database,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rekod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, field, dan sub field.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0D3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metadata.</w:t>
      </w:r>
    </w:p>
    <w:p w14:paraId="476DD77B" w14:textId="77777777" w:rsidR="009343CF" w:rsidRDefault="009343CF" w:rsidP="009343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>1. Metadata</w:t>
      </w:r>
    </w:p>
    <w:p w14:paraId="5BF058CE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 Demikian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metadata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2E8BCFD9" w14:textId="77777777" w:rsidR="009343CF" w:rsidRDefault="009343CF" w:rsidP="009343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Atribute</w:t>
      </w:r>
      <w:proofErr w:type="spellEnd"/>
    </w:p>
    <w:p w14:paraId="44B178B8" w14:textId="77777777" w:rsidR="009343CF" w:rsidRPr="00E15D69" w:rsidRDefault="009343CF" w:rsidP="009343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:</w:t>
      </w:r>
    </w:p>
    <w:p w14:paraId="67711038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82B54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920D3C">
        <w:rPr>
          <w:rFonts w:ascii="Times New Roman" w:hAnsi="Times New Roman" w:cs="Times New Roman"/>
          <w:sz w:val="24"/>
          <w:szCs w:val="24"/>
        </w:rPr>
        <w:t>(OAIS).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3DF32070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Viabilitas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33304A52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5E9FF943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3A2A7880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0A5D9554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43366E4A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1DE42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920D3C">
        <w:rPr>
          <w:rFonts w:ascii="Times New Roman" w:hAnsi="Times New Roman" w:cs="Times New Roman"/>
          <w:sz w:val="24"/>
          <w:szCs w:val="24"/>
        </w:rPr>
        <w:t xml:space="preserve">a. Model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Terbuka (OAIS)</w:t>
      </w:r>
    </w:p>
    <w:p w14:paraId="0628477F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OAIS.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digital.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D3C">
        <w:rPr>
          <w:rFonts w:ascii="Times New Roman" w:hAnsi="Times New Roman" w:cs="Times New Roman"/>
          <w:sz w:val="24"/>
          <w:szCs w:val="24"/>
        </w:rPr>
        <w:t xml:space="preserve">OAIS juga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model-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D3C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Panjang </w:t>
      </w:r>
      <w:r w:rsidRPr="00920D3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524B8B7B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D3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3732DE4D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Jawab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14:paraId="35870A0A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D3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orang-orang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lastRenderedPageBreak/>
        <w:t>kelangsungan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, backup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D3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deposan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deposan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kontingensi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D3C">
        <w:rPr>
          <w:rFonts w:ascii="Times New Roman" w:hAnsi="Times New Roman" w:cs="Times New Roman"/>
          <w:sz w:val="24"/>
          <w:szCs w:val="24"/>
        </w:rPr>
        <w:t>tindakannya</w:t>
      </w:r>
      <w:proofErr w:type="spellEnd"/>
      <w:r w:rsidRPr="00920D3C">
        <w:rPr>
          <w:rFonts w:ascii="Times New Roman" w:hAnsi="Times New Roman" w:cs="Times New Roman"/>
          <w:sz w:val="24"/>
          <w:szCs w:val="24"/>
        </w:rPr>
        <w:t>.</w:t>
      </w:r>
    </w:p>
    <w:p w14:paraId="1898E1D9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A1672B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Viabilitas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3C1D0EDC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deposan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Status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, proses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suksesi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deposan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pewaris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gencatan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</w:p>
    <w:p w14:paraId="41CFDD45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5E68879E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</w:p>
    <w:p w14:paraId="6B279349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A1672B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Prosedural</w:t>
      </w:r>
      <w:proofErr w:type="spellEnd"/>
    </w:p>
    <w:p w14:paraId="684A3E05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672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menganjurkan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sesai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pengaksesannya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</w:p>
    <w:p w14:paraId="033A323E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 w:rsidRPr="00A1672B">
        <w:rPr>
          <w:rFonts w:ascii="Times New Roman" w:hAnsi="Times New Roman" w:cs="Times New Roman"/>
          <w:sz w:val="24"/>
          <w:szCs w:val="24"/>
        </w:rPr>
        <w:lastRenderedPageBreak/>
        <w:t>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AA621A1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firewall, dan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A1672B">
        <w:rPr>
          <w:rFonts w:ascii="Times New Roman" w:hAnsi="Times New Roman" w:cs="Times New Roman"/>
          <w:sz w:val="24"/>
          <w:szCs w:val="24"/>
        </w:rPr>
        <w:t xml:space="preserve">backup.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dokumentasinya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deposan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</w:p>
    <w:p w14:paraId="026504AC" w14:textId="77777777" w:rsidR="009343CF" w:rsidRDefault="009343CF" w:rsidP="009343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procedural</w:t>
      </w:r>
    </w:p>
    <w:p w14:paraId="7870E32B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emulasi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menegosiasikan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7DAAB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mengkhususkan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kelabu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literature)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publikasinya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local contents.</w:t>
      </w:r>
    </w:p>
    <w:p w14:paraId="171C87D9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(Pfister, 2008).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dilayankan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digital.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3C944C60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paperbased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primadona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format digital.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Kemapanan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ditentang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kembalinya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Beranekaragam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oleh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lastRenderedPageBreak/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format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Akses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</w:p>
    <w:p w14:paraId="2042CFBA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(TIK).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temu-kembali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7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72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1672B">
        <w:rPr>
          <w:rFonts w:ascii="Times New Roman" w:hAnsi="Times New Roman" w:cs="Times New Roman"/>
          <w:sz w:val="24"/>
          <w:szCs w:val="24"/>
        </w:rPr>
        <w:t>.</w:t>
      </w:r>
    </w:p>
    <w:p w14:paraId="3E27C5AC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5D69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multi user, unlimited access,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(remote access)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72CAE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D69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kencenderungan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nonilmiah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mendigitalisasi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6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digital.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9D6D7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69">
        <w:rPr>
          <w:rFonts w:ascii="Times New Roman" w:hAnsi="Times New Roman" w:cs="Times New Roman"/>
          <w:sz w:val="24"/>
          <w:szCs w:val="24"/>
        </w:rPr>
        <w:t xml:space="preserve">unpublished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eksemplar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di Indonesia.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3E8D2" w14:textId="77777777" w:rsidR="009343CF" w:rsidRDefault="009343CF" w:rsidP="009343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D6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6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elekronik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Digitaliasi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D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5D69">
        <w:rPr>
          <w:rFonts w:ascii="Times New Roman" w:hAnsi="Times New Roman" w:cs="Times New Roman"/>
          <w:sz w:val="24"/>
          <w:szCs w:val="24"/>
        </w:rPr>
        <w:t>.</w:t>
      </w:r>
    </w:p>
    <w:p w14:paraId="160A3D34" w14:textId="77777777" w:rsidR="004F298A" w:rsidRPr="009343CF" w:rsidRDefault="004F298A">
      <w:pPr>
        <w:rPr>
          <w:rFonts w:ascii="Times New Roman" w:hAnsi="Times New Roman" w:cs="Times New Roman"/>
          <w:sz w:val="24"/>
          <w:szCs w:val="24"/>
        </w:rPr>
      </w:pPr>
    </w:p>
    <w:sectPr w:rsidR="004F298A" w:rsidRPr="0093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F"/>
    <w:rsid w:val="00481875"/>
    <w:rsid w:val="004F298A"/>
    <w:rsid w:val="009343CF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F22C"/>
  <w15:chartTrackingRefBased/>
  <w15:docId w15:val="{92CD0B75-71D8-4FFA-8B72-BEFD8763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2023-11-12T10:52:00Z</dcterms:created>
  <dcterms:modified xsi:type="dcterms:W3CDTF">2023-11-12T10:53:00Z</dcterms:modified>
</cp:coreProperties>
</file>