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técnico del aplicativo PRICE</w:t>
      </w:r>
    </w:p>
    <w:p>
      <w:r>
        <w:t>Proyecto integrador de la semana 04 | Android con Java, Retrofit y API REST</w:t>
      </w:r>
    </w:p>
    <w:p>
      <w:r>
        <w:t>Este documento explica cómo ejecutar y sustentar el proyecto PRICE. La aplicación registra establecimientos y fiscalizaciones, conserva avances en el teléfono y genera un acta de dos páginas a partir del formato Word entregado para la clase.</w:t>
      </w:r>
    </w:p>
    <w:p>
      <w:pPr>
        <w:pStyle w:val="Heading1"/>
      </w:pPr>
      <w:r>
        <w:t>Alcance del proyecto</w:t>
      </w:r>
    </w:p>
    <w:p>
      <w:r>
        <w:t>La entrega amplía el formulario original con inicio de sesión, roles, menú principal, búsqueda, CRUD de establecimientos, fiscalizaciones persistentes, catálogos desde el servidor, evidencias escritas, firmas, fotografías y geolocalización. Los botones Vista previa y Generar PDF permanecen separados.</w:t>
      </w:r>
    </w:p>
    <w:p>
      <w:r>
        <w:t>El código del servidor está en Python y usa SQLite como motor de base de datos. El cliente sigue siendo Java y usa Retrofit para enviar y recibir JSON. La base local de Android también es SQLite.</w:t>
      </w:r>
    </w:p>
    <w:p>
      <w:pPr>
        <w:pStyle w:val="Heading1"/>
      </w:pPr>
      <w:r>
        <w:t>Arquitectura</w:t>
      </w:r>
    </w:p>
    <w:tbl>
      <w:tblPr>
        <w:tblW w:type="auto" w:w="0"/>
        <w:jc w:val="center"/>
        <w:tblLayout w:type="fixed"/>
        <w:tblLook w:firstColumn="1" w:firstRow="1" w:lastColumn="0" w:lastRow="0" w:noHBand="0" w:noVBand="1" w:val="04A0"/>
      </w:tblPr>
      <w:tblGrid>
        <w:gridCol w:w="2304"/>
        <w:gridCol w:w="7632"/>
      </w:tblGrid>
      <w:tr>
        <w:trPr>
          <w:tblHeader/>
        </w:trPr>
        <w:tc>
          <w:tcPr>
            <w:tcW w:type="dxa" w:w="2304"/>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Componente</w:t>
            </w:r>
          </w:p>
        </w:tc>
        <w:tc>
          <w:tcPr>
            <w:tcW w:type="dxa" w:w="7632"/>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Responsabilidad</w:t>
            </w:r>
          </w:p>
        </w:tc>
      </w:tr>
      <w:tr>
        <w:tc>
          <w:tcPr>
            <w:tcW w:type="dxa" w:w="230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Android y Retrofit</w:t>
            </w:r>
          </w:p>
        </w:tc>
        <w:tc>
          <w:tcPr>
            <w:tcW w:type="dxa" w:w="7632"/>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Interfaz, validación inmediata, solicitudes HTTP y modelos Java.</w:t>
            </w:r>
          </w:p>
        </w:tc>
      </w:tr>
      <w:tr>
        <w:tc>
          <w:tcPr>
            <w:tcW w:type="dxa" w:w="23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LocalStore</w:t>
            </w:r>
          </w:p>
        </w:tc>
        <w:tc>
          <w:tcPr>
            <w:tcW w:type="dxa" w:w="763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Registros JSON, catálogos y recuperación del formulario en SQLite. Separación por servidor y usuario.</w:t>
            </w:r>
          </w:p>
        </w:tc>
      </w:tr>
      <w:tr>
        <w:tc>
          <w:tcPr>
            <w:tcW w:type="dxa" w:w="230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 REST</w:t>
            </w:r>
          </w:p>
        </w:tc>
        <w:tc>
          <w:tcPr>
            <w:tcW w:type="dxa" w:w="7632"/>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Autenticación, permisos, validaciones, CRUD, control de versiones y generación de PDF.</w:t>
            </w:r>
          </w:p>
        </w:tc>
      </w:tr>
      <w:tr>
        <w:tc>
          <w:tcPr>
            <w:tcW w:type="dxa" w:w="23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Base del servidor</w:t>
            </w:r>
          </w:p>
        </w:tc>
        <w:tc>
          <w:tcPr>
            <w:tcW w:type="dxa" w:w="763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Tablas relacionadas de usuarios, establecimientos, diligencias, precios, hechos y evidencias.</w:t>
            </w:r>
          </w:p>
        </w:tc>
      </w:tr>
      <w:tr>
        <w:tc>
          <w:tcPr>
            <w:tcW w:type="dxa" w:w="230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Plantilla del acta</w:t>
            </w:r>
          </w:p>
        </w:tc>
        <w:tc>
          <w:tcPr>
            <w:tcW w:type="dxa" w:w="7632"/>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Imágenes renderizadas del Word original y coordenadas compartidas con Android.</w:t>
            </w:r>
          </w:p>
        </w:tc>
      </w:tr>
    </w:tbl>
    <w:p/>
    <w:p>
      <w:r>
        <w:t>Una operación sigue este recorrido: pantalla Android, modelo Java, Retrofit, endpoint REST, validación y transacción de base de datos. La respuesta vuelve en JSON y actualiza la copia local. El código SQL del servidor permanece dentro de api_rest.</w:t>
      </w:r>
    </w:p>
    <w:p>
      <w:pPr>
        <w:pStyle w:val="Heading1"/>
      </w:pPr>
      <w:r>
        <w:t>Inicio de la demostración</w:t>
      </w:r>
    </w:p>
    <w:p>
      <w:r>
        <w:t>Extraiga el ZIP y abra la carpeta que contiene settings.gradle.kts en Android Studio. El proyecto usa SDK 36, AGP 9.0.1, Gradle 9.2.1 y un JDK de versión 17 o superior. Ejecute api_rest/INICIAR_API.bat en Windows y mantenga abierta la consola. La primera instalación requiere Python 3.10 o superior y conexión para descargar las dependencias.</w:t>
      </w:r>
    </w:p>
    <w:p>
      <w:r>
        <w:t>Compruebe http://127.0.0.1:8000/api/health desde la computadora. En el emulador configure http://10.0.2.2:8000/. Para un teléfono físico use la IP de la computadora en la misma red Wi-Fi. El archivo LEEME_PRIMERO.txt contiene el procedimiento completo.</w:t>
      </w:r>
    </w:p>
    <w:p>
      <w:pPr>
        <w:spacing w:before="0" w:after="0" w:line="20" w:lineRule="exact"/>
      </w:pPr>
      <w:r>
        <w:rPr>
          <w:sz w:val="2"/>
        </w:rPr>
        <w:br w:type="page"/>
      </w:r>
    </w:p>
    <w:p>
      <w:pPr>
        <w:pStyle w:val="Heading1"/>
      </w:pPr>
      <w:r>
        <w:t>Autenticación y permisos</w:t>
      </w:r>
    </w:p>
    <w:p>
      <w:r>
        <w:t>POST /api/login verifica el usuario y la contraseña mediante PBKDF2 con sal aleatoria. El servidor entrega un token opaco, guarda únicamente su hash y establece una vigencia de ocho horas. Retrofit agrega Authorization: Bearer en cada petición. El cierre de sesión revoca ese token en el servidor cuando existe conexión.</w:t>
      </w:r>
    </w:p>
    <w:tbl>
      <w:tblPr>
        <w:tblW w:type="auto" w:w="0"/>
        <w:jc w:val="center"/>
        <w:tblLayout w:type="fixed"/>
        <w:tblLook w:firstColumn="1" w:firstRow="1" w:lastColumn="0" w:lastRow="0" w:noHBand="0" w:noVBand="1" w:val="04A0"/>
      </w:tblPr>
      <w:tblGrid>
        <w:gridCol w:w="2016"/>
        <w:gridCol w:w="7920"/>
      </w:tblGrid>
      <w:tr>
        <w:trPr>
          <w:tblHeader/>
        </w:trPr>
        <w:tc>
          <w:tcPr>
            <w:tcW w:type="dxa" w:w="2016"/>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Rol</w:t>
            </w:r>
          </w:p>
        </w:tc>
        <w:tc>
          <w:tcPr>
            <w:tcW w:type="dxa" w:w="7920"/>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Operaciones permitidas</w:t>
            </w:r>
          </w:p>
        </w:tc>
      </w:tr>
      <w:tr>
        <w:tc>
          <w:tcPr>
            <w:tcW w:type="dxa" w:w="201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ADMIN</w:t>
            </w:r>
          </w:p>
        </w:tc>
        <w:tc>
          <w:tcPr>
            <w:tcW w:type="dxa" w:w="792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Crear y editar establecimientos y fiscalizaciones. Eliminar borradores sin dependencias. Consultar y generar actas cerradas.</w:t>
            </w:r>
          </w:p>
        </w:tc>
      </w:tr>
      <w:tr>
        <w:tc>
          <w:tcPr>
            <w:tcW w:type="dxa" w:w="201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FISCALIZADOR</w:t>
            </w:r>
          </w:p>
        </w:tc>
        <w:tc>
          <w:tcPr>
            <w:tcW w:type="dxa" w:w="792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Crear y editar establecimientos. Crear, editar y cerrar sus propias fiscalizaciones. Consultar registros.</w:t>
            </w:r>
          </w:p>
        </w:tc>
      </w:tr>
      <w:tr>
        <w:tc>
          <w:tcPr>
            <w:tcW w:type="dxa" w:w="201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CONSULTA</w:t>
            </w:r>
          </w:p>
        </w:tc>
        <w:tc>
          <w:tcPr>
            <w:tcW w:type="dxa" w:w="792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Listar, buscar y consultar. Descargar documentos ya finalizados. Sin altas, ediciones ni eliminaciones.</w:t>
            </w:r>
          </w:p>
        </w:tc>
      </w:tr>
    </w:tbl>
    <w:p/>
    <w:p>
      <w:r>
        <w:t>Las cuentas iniciales admin, fiscalizador y consulta usan la clave de práctica Price2026!. Sus nombres y DNI son ficticios. Ejecute usuarios.py para registrar una cuenta con los datos que correspondan a la demostración. La app no guarda la contraseña. Los permisos también se verifican en la API, aunque se envíe una petición fuera de Android.</w:t>
      </w:r>
    </w:p>
    <w:p>
      <w:pPr>
        <w:pStyle w:val="Heading1"/>
      </w:pPr>
      <w:r>
        <w:t>Datos y validaciones</w:t>
      </w:r>
    </w:p>
    <w:p>
      <w:r>
        <w:t>El formulario incluye expediente, agente, código Osinergmin, registro, fecha, horas, dirección, ubicación administrativa, RUC/DNI, teléfono y fiscalizador. Permite precios PRICE, publicados, de surtidor y con descuento para combustibles y cilindros. Admite hasta tres marcas de cilindros, con capacidades de 3, 5, 10, 15 y 45 kg.</w:t>
      </w:r>
    </w:p>
    <w:p>
      <w:r>
        <w:t>Se exige expediente; las fechas deben existir y tener formato DD/MM/AAAA. Las horas usan HH:MM y el cierre no puede ser anterior a la apertura. Los precios admiten valores entre 0 y 9999.999 con hasta tres decimales. La aplicación normaliza la coma decimal antes del envío.</w:t>
      </w:r>
    </w:p>
    <w:p>
      <w:r>
        <w:t>Cada incumplimiento seleccionado exige un hecho escrito. Al cerrar se requieren las tres verificaciones, identificación del fiscalizador, al menos un producto con PRICE y precio publicado, y firma del fiscalizador. Los datos y firma de quien recibe se requieren salvo que se registre una negativa. No se cierra un acta cuyo texto exceda el espacio de la plantilla.</w:t>
      </w:r>
    </w:p>
    <w:p>
      <w:pPr>
        <w:pStyle w:val="Heading1"/>
      </w:pPr>
      <w:r>
        <w:t>Estados y edición</w:t>
      </w:r>
    </w:p>
    <w:p>
      <w:r>
        <w:t>La secuencia de trabajo es BORRADOR, EN PROCESO, FINALIZADA y ACTA GENERADA. Guardar avance conserva una diligencia editable. Finalizar pide confirmación y bloquea su contenido. Generar PDF permite elegir un destino y, después de guardar con éxito, registra ACTA GENERADA. Una cuenta de consulta puede exportar un acta cerrada sin modificar el registro.</w:t>
      </w:r>
    </w:p>
    <w:p>
      <w:r>
        <w:t>El servidor valida el contenido completo cuando recibe una fiscalización ya cerrada desde un dispositivo que trabajó sin conexión. No exige enviar estados intermedios que se hayan producido únicamente en el teléfono. Las actas cerradas no admiten edición ni eliminación.</w:t>
      </w:r>
    </w:p>
    <w:p>
      <w:pPr>
        <w:spacing w:before="0" w:after="0" w:line="20" w:lineRule="exact"/>
      </w:pPr>
      <w:r>
        <w:rPr>
          <w:sz w:val="2"/>
        </w:rPr>
        <w:br w:type="page"/>
      </w:r>
    </w:p>
    <w:p>
      <w:pPr>
        <w:pStyle w:val="Heading1"/>
      </w:pPr>
      <w:r>
        <w:t>Contrato de la API</w:t>
      </w:r>
    </w:p>
    <w:p>
      <w:r>
        <w:t>La URL base del cliente termina en /. Los endpoints incluyen el prefijo /api. Excepto login y health, requieren token. Los identificadores de las rutas pueden ser el ID numérico o el UUID del registro.</w:t>
      </w:r>
    </w:p>
    <w:tbl>
      <w:tblPr>
        <w:tblW w:type="auto" w:w="0"/>
        <w:jc w:val="center"/>
        <w:tblLayout w:type="fixed"/>
        <w:tblLook w:firstColumn="1" w:firstRow="1" w:lastColumn="0" w:lastRow="0" w:noHBand="0" w:noVBand="1" w:val="04A0"/>
      </w:tblPr>
      <w:tblGrid>
        <w:gridCol w:w="1584"/>
        <w:gridCol w:w="4608"/>
        <w:gridCol w:w="3744"/>
      </w:tblGrid>
      <w:tr>
        <w:trPr>
          <w:tblHeader/>
        </w:trPr>
        <w:tc>
          <w:tcPr>
            <w:tcW w:type="dxa" w:w="1584"/>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Método</w:t>
            </w:r>
          </w:p>
        </w:tc>
        <w:tc>
          <w:tcPr>
            <w:tcW w:type="dxa" w:w="4608"/>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Ruta</w:t>
            </w:r>
          </w:p>
        </w:tc>
        <w:tc>
          <w:tcPr>
            <w:tcW w:type="dxa" w:w="3744"/>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Resultado</w:t>
            </w:r>
          </w:p>
        </w:tc>
      </w:tr>
      <w:tr>
        <w:tc>
          <w:tcPr>
            <w:tcW w:type="dxa" w:w="158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GET</w:t>
            </w:r>
          </w:p>
        </w:tc>
        <w:tc>
          <w:tcPr>
            <w:tcW w:type="dxa" w:w="4608"/>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/api/health</w:t>
            </w:r>
          </w:p>
        </w:tc>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Comprobar servicio y motor de datos.</w:t>
            </w:r>
          </w:p>
        </w:tc>
      </w:tr>
      <w:t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POST</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/api/login</w:t>
            </w:r>
          </w:p>
        </w:tc>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Obtener token y rol.</w:t>
            </w:r>
          </w:p>
        </w:tc>
      </w:tr>
      <w:tr>
        <w:tc>
          <w:tcPr>
            <w:tcW w:type="dxa" w:w="158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GET</w:t>
            </w:r>
          </w:p>
        </w:tc>
        <w:tc>
          <w:tcPr>
            <w:tcW w:type="dxa" w:w="4608"/>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/api/me</w:t>
            </w:r>
          </w:p>
        </w:tc>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Validar la sesión actual.</w:t>
            </w:r>
          </w:p>
        </w:tc>
      </w:tr>
      <w:t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POST</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/api/logout</w:t>
            </w:r>
          </w:p>
        </w:tc>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Revocar el token actual.</w:t>
            </w:r>
          </w:p>
        </w:tc>
      </w:tr>
      <w:tr>
        <w:tc>
          <w:tcPr>
            <w:tcW w:type="dxa" w:w="158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GET</w:t>
            </w:r>
          </w:p>
        </w:tc>
        <w:tc>
          <w:tcPr>
            <w:tcW w:type="dxa" w:w="4608"/>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/api/establecimientos</w:t>
            </w:r>
          </w:p>
        </w:tc>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Listar; q permite búsqueda.</w:t>
            </w:r>
          </w:p>
        </w:tc>
      </w:tr>
      <w:t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POST</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/api/establecimientos</w:t>
            </w:r>
          </w:p>
        </w:tc>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Crear con UUID estable.</w:t>
            </w:r>
          </w:p>
        </w:tc>
      </w:tr>
      <w:tr>
        <w:tc>
          <w:tcPr>
            <w:tcW w:type="dxa" w:w="158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GET / PUT / DELETE</w:t>
            </w:r>
          </w:p>
        </w:tc>
        <w:tc>
          <w:tcPr>
            <w:tcW w:type="dxa" w:w="4608"/>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/api/establecimientos/{id}</w:t>
            </w:r>
          </w:p>
        </w:tc>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Consultar, actualizar o eliminar.</w:t>
            </w:r>
          </w:p>
        </w:tc>
      </w:tr>
      <w:t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GET / POST</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/api/fiscalizaciones</w:t>
            </w:r>
          </w:p>
        </w:tc>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Listar o crear diligencias.</w:t>
            </w:r>
          </w:p>
        </w:tc>
      </w:tr>
      <w:tr>
        <w:tc>
          <w:tcPr>
            <w:tcW w:type="dxa" w:w="158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GET / PUT / DELETE</w:t>
            </w:r>
          </w:p>
        </w:tc>
        <w:tc>
          <w:tcPr>
            <w:tcW w:type="dxa" w:w="4608"/>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/api/fiscalizaciones/{id}</w:t>
            </w:r>
          </w:p>
        </w:tc>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Consultar, editar o eliminar borradores.</w:t>
            </w:r>
          </w:p>
        </w:tc>
      </w:tr>
      <w:t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GET</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/api/incumplimientos</w:t>
            </w:r>
          </w:p>
        </w:tc>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Catálogo con descripción y base legal.</w:t>
            </w:r>
          </w:p>
        </w:tc>
      </w:tr>
      <w:tr>
        <w:tc>
          <w:tcPr>
            <w:tcW w:type="dxa" w:w="158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GET</w:t>
            </w:r>
          </w:p>
        </w:tc>
        <w:tc>
          <w:tcPr>
            <w:tcW w:type="dxa" w:w="4608"/>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/api/productos</w:t>
            </w:r>
          </w:p>
        </w:tc>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Catálogo de productos.</w:t>
            </w:r>
          </w:p>
        </w:tc>
      </w:tr>
      <w:t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POST</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/api/fiscalizaciones/{id}/incumplimientos</w:t>
            </w:r>
          </w:p>
        </w:tc>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Agregar un incumplimiento con hechos.</w:t>
            </w:r>
          </w:p>
        </w:tc>
      </w:tr>
      <w:tr>
        <w:tc>
          <w:tcPr>
            <w:tcW w:type="dxa" w:w="158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GET</w:t>
            </w:r>
          </w:p>
        </w:tc>
        <w:tc>
          <w:tcPr>
            <w:tcW w:type="dxa" w:w="4608"/>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/api/fiscalizaciones/{id}/historial</w:t>
            </w:r>
          </w:p>
        </w:tc>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Consultar cambios y autor.</w:t>
            </w:r>
          </w:p>
        </w:tc>
      </w:tr>
      <w:t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GET</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/api/fiscalizaciones/{id}/acta/pdf</w:t>
            </w:r>
          </w:p>
        </w:tc>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Obtener el PDF de una diligencia cerrada.</w:t>
            </w:r>
          </w:p>
        </w:tc>
      </w:tr>
    </w:tbl>
    <w:p/>
    <w:p>
      <w:r>
        <w:t>Un POST exitoso devuelve 201 y un registro con id, uuid y version. Un PUT debe incluir la versión vigente. La API devuelve 409 ante duplicados o conflictos, 401 para sesiones inválidas, 403 para operaciones sin permiso y 422 cuando los datos no cumplen las reglas. DELETE exige la cabecera If-Match con la versión actual; Android además solicita confirmación.</w:t>
      </w:r>
    </w:p>
    <w:p>
      <w:r>
        <w:t>El contrato de fiscalización agrupa datos generales en datos, precios en una lista de objetos, respuestas booleanas en verificaciones, hechos en incumplimientos y las imágenes en firmas/documentos. Los archivos establecimiento_demo.json y fiscalizacion_demo.json muestran solicitudes completas con datos ficticios.</w:t>
      </w:r>
    </w:p>
    <w:p>
      <w:pPr>
        <w:pStyle w:val="Heading1"/>
      </w:pPr>
      <w:r>
        <w:t>Pruebas con Postman</w:t>
      </w:r>
    </w:p>
    <w:p>
      <w:r>
        <w:t>Importe pruebas/PRICE_Postman.json. La colección configura la URL base local, obtiene un token y prueba el registro, la consulta, la actualización y la generación del PDF. Las variables guardan los ID, UUID y versiones devueltos. Las peticiones de prueba crean registros académicos nuevos; no ejecutan limpiezas masivas.</w:t>
      </w:r>
    </w:p>
    <w:p>
      <w:pPr>
        <w:spacing w:before="0" w:after="0" w:line="20" w:lineRule="exact"/>
      </w:pPr>
      <w:r>
        <w:rPr>
          <w:sz w:val="2"/>
        </w:rPr>
        <w:br w:type="page"/>
      </w:r>
    </w:p>
    <w:p>
      <w:pPr>
        <w:pStyle w:val="Heading1"/>
      </w:pPr>
      <w:r>
        <w:t>Modelo de base de datos</w:t>
      </w:r>
    </w:p>
    <w:tbl>
      <w:tblPr>
        <w:tblW w:type="auto" w:w="0"/>
        <w:jc w:val="center"/>
        <w:tblLayout w:type="fixed"/>
        <w:tblLook w:firstColumn="1" w:firstRow="1" w:lastColumn="0" w:lastRow="0" w:noHBand="0" w:noVBand="1" w:val="04A0"/>
      </w:tblPr>
      <w:tblGrid>
        <w:gridCol w:w="3456"/>
        <w:gridCol w:w="6480"/>
      </w:tblGrid>
      <w:tr>
        <w:trPr>
          <w:tblHeader/>
        </w:trPr>
        <w:tc>
          <w:tcPr>
            <w:tcW w:type="dxa" w:w="3456"/>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Tabla</w:t>
            </w:r>
          </w:p>
        </w:tc>
        <w:tc>
          <w:tcPr>
            <w:tcW w:type="dxa" w:w="6480"/>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Contenido y relación principal</w:t>
            </w:r>
          </w:p>
        </w:tc>
      </w:tr>
      <w:tr>
        <w:tc>
          <w:tcPr>
            <w:tcW w:type="dxa" w:w="345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usuarios y tokens</w:t>
            </w:r>
          </w:p>
        </w:tc>
        <w:tc>
          <w:tcPr>
            <w:tcW w:type="dxa" w:w="648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Cuentas, roles, hash de contraseña y sesiones con vencimiento.</w:t>
            </w:r>
          </w:p>
        </w:tc>
      </w:tr>
      <w:tr>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establecimientos</w:t>
            </w:r>
          </w:p>
        </w:tc>
        <w:tc>
          <w:tcPr>
            <w:tcW w:type="dxa" w:w="64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Agente, RUC/DNI y código único. UUID permite identificar el registro desde Android.</w:t>
            </w:r>
          </w:p>
        </w:tc>
      </w:tr>
      <w:tr>
        <w:tc>
          <w:tcPr>
            <w:tcW w:type="dxa" w:w="345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fiscalizaciones</w:t>
            </w:r>
          </w:p>
        </w:tc>
        <w:tc>
          <w:tcPr>
            <w:tcW w:type="dxa" w:w="648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Expediente único, establecimiento, autor, estado, fecha, versión y datos del acta.</w:t>
            </w:r>
          </w:p>
        </w:tc>
      </w:tr>
      <w:tr>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productos y precios</w:t>
            </w:r>
          </w:p>
        </w:tc>
        <w:tc>
          <w:tcPr>
            <w:tcW w:type="dxa" w:w="64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Productos del catálogo y precios por fiscalización, producto y fila de marca.</w:t>
            </w:r>
          </w:p>
        </w:tc>
      </w:tr>
      <w:tr>
        <w:tc>
          <w:tcPr>
            <w:tcW w:type="dxa" w:w="345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verificaciones</w:t>
            </w:r>
          </w:p>
        </w:tc>
        <w:tc>
          <w:tcPr>
            <w:tcW w:type="dxa" w:w="648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Respuestas de teléfono publicado, teléfono actualizado y horario publicado.</w:t>
            </w:r>
          </w:p>
        </w:tc>
      </w:tr>
      <w:tr>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incumplimientos_catalogo</w:t>
            </w:r>
          </w:p>
        </w:tc>
        <w:tc>
          <w:tcPr>
            <w:tcW w:type="dxa" w:w="64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Seis descripciones y bases legales tomadas del formato proporcionado.</w:t>
            </w:r>
          </w:p>
        </w:tc>
      </w:tr>
      <w:tr>
        <w:tc>
          <w:tcPr>
            <w:tcW w:type="dxa" w:w="345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fiscalizacion_incumplimientos</w:t>
            </w:r>
          </w:p>
        </w:tc>
        <w:tc>
          <w:tcPr>
            <w:tcW w:type="dxa" w:w="648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Relaciona la diligencia con los incumplimientos seleccionados.</w:t>
            </w:r>
          </w:p>
        </w:tc>
      </w:tr>
      <w:tr>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hechos_verificados</w:t>
            </w:r>
          </w:p>
        </w:tc>
        <w:tc>
          <w:tcPr>
            <w:tcW w:type="dxa" w:w="64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Evidencia escrita, fecha y usuario. No se sustituye por el texto del catálogo.</w:t>
            </w:r>
          </w:p>
        </w:tc>
      </w:tr>
      <w:tr>
        <w:tc>
          <w:tcPr>
            <w:tcW w:type="dxa" w:w="345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observaciones</w:t>
            </w:r>
          </w:p>
        </w:tc>
        <w:tc>
          <w:tcPr>
            <w:tcW w:type="dxa" w:w="648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Ocurrencias, documentación, observaciones y negativa.</w:t>
            </w:r>
          </w:p>
        </w:tc>
      </w:tr>
      <w:tr>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firmas y documentos</w:t>
            </w:r>
          </w:p>
        </w:tc>
        <w:tc>
          <w:tcPr>
            <w:tcW w:type="dxa" w:w="64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Firmas manuscritas y hasta cuatro fotografías por diligencia.</w:t>
            </w:r>
          </w:p>
        </w:tc>
      </w:tr>
      <w:tr>
        <w:tc>
          <w:tcPr>
            <w:tcW w:type="dxa" w:w="3456"/>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historial</w:t>
            </w:r>
          </w:p>
        </w:tc>
        <w:tc>
          <w:tcPr>
            <w:tcW w:type="dxa" w:w="6480"/>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Operación, entidad, UUID, autor, fecha y resumen del cambio.</w:t>
            </w:r>
          </w:p>
        </w:tc>
      </w:tr>
    </w:tbl>
    <w:p/>
    <w:p>
      <w:r>
        <w:t>Las claves foráneas vinculan los registros y evitan eliminar establecimientos con diligencias. La creación o actualización del encabezado y de sus tablas relacionadas se realiza en una sola transacción. El JSON del encabezado conserva la representación completa del acta; las tablas relacionadas facilitan las consultas por sección.</w:t>
      </w:r>
    </w:p>
    <w:p>
      <w:pPr>
        <w:pStyle w:val="Heading1"/>
      </w:pPr>
      <w:r>
        <w:t>Guardado local y sincronización</w:t>
      </w:r>
    </w:p>
    <w:p>
      <w:r>
        <w:t>La base de Android tiene registros, catálogos y recuperación. Cada registro conserva un UUID, JSON, indicador pendiente, revisión local y mensaje de error. Los catálogos se descargan después de autenticarse y pueden consultarse sin conexión. El formulario conserva su avance al salir o al rotar el dispositivo.</w:t>
      </w:r>
    </w:p>
    <w:p>
      <w:r>
        <w:t>La sincronización envía primero establecimientos y luego fiscalizaciones. Un UUID evita crear otra fila cuando se reintenta una solicitud. Una revisión local impide que una respuesta tardía elimine cambios realizados mientras se enviaba el registro. La descarga no reemplaza registros pendientes. Los conflictos de versión quedan visibles para que el usuario revise la copia del servidor antes de decidir.</w:t>
      </w:r>
    </w:p>
    <w:p>
      <w:r>
        <w:t>El primer ingreso requiere conexión. El acceso sin conexión utiliza la sesión previamente validada y dura hasta su vencimiento de ocho horas. Las eliminaciones sincronizadas requieren conexión. No existe un servicio de sincronización permanente en segundo plano: se sincroniza al abrir, guardar o pulsar Sincronizar.</w:t>
      </w:r>
    </w:p>
    <w:p>
      <w:pPr>
        <w:spacing w:before="0" w:after="0" w:line="20" w:lineRule="exact"/>
      </w:pPr>
      <w:r>
        <w:rPr>
          <w:sz w:val="2"/>
        </w:rPr>
        <w:br w:type="page"/>
      </w:r>
    </w:p>
    <w:p>
      <w:pPr>
        <w:pStyle w:val="Heading1"/>
      </w:pPr>
      <w:r>
        <w:t>Generación y fidelidad del acta</w:t>
      </w:r>
    </w:p>
    <w:p>
      <w:r>
        <w:t>El Word ACTA PRICE.docx se conserva como referencia. Sus dos páginas se renderizaron como fondo fijo. El archivo acta_layout.json define las posiciones de expediente, datos, precios, respuestas, hechos y firmas. Android y el servidor usan esa misma definición. Los datos impresos que ya venían rellenados en el modelo se tratan como campos variables.</w:t>
      </w:r>
    </w:p>
    <w:p>
      <w:r>
        <w:t>ActaRenderer usa PdfDocument en Android. PdfPreviewActivity abre ese mismo archivo con PdfRenderer, por lo que la vista previa y el archivo guardado comparten el mismo contenido. El servidor usa ReportLab. Ambos mantienen encabezados, tablas, bloques legales, pies y exactamente dos páginas. Puede haber diferencias menores de tipografía entre los motores de Android y del servidor; la estructura permanece fija.</w:t>
      </w:r>
    </w:p>
    <w:p>
      <w:r>
        <w:t>El renderizador ajusta el tamaño dentro del espacio disponible y rechaza textos que no caben, en lugar de recortarlos. Las celdas muy estrechas de cilindros usan letra menor. Las fotografías se conservan como adjuntos de la diligencia y no agregan páginas al acta. El hecho del ítem 4 se escribe en su continuación de la segunda página.</w:t>
      </w:r>
    </w:p>
    <w:p>
      <w:pPr>
        <w:pStyle w:val="Heading1"/>
      </w:pPr>
      <w:r>
        <w:t>Archivos principales para explicar el código</w:t>
      </w:r>
    </w:p>
    <w:tbl>
      <w:tblPr>
        <w:tblW w:type="auto" w:w="0"/>
        <w:jc w:val="center"/>
        <w:tblLayout w:type="fixed"/>
        <w:tblLook w:firstColumn="1" w:firstRow="1" w:lastColumn="0" w:lastRow="0" w:noHBand="0" w:noVBand="1" w:val="04A0"/>
      </w:tblPr>
      <w:tblGrid>
        <w:gridCol w:w="3744"/>
        <w:gridCol w:w="6192"/>
      </w:tblGrid>
      <w:tr>
        <w:trPr>
          <w:tblHeader/>
        </w:trPr>
        <w:tc>
          <w:tcPr>
            <w:tcW w:type="dxa" w:w="3744"/>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Archivo</w:t>
            </w:r>
          </w:p>
        </w:tc>
        <w:tc>
          <w:tcPr>
            <w:tcW w:type="dxa" w:w="6192"/>
            <w:vAlign w:val="center"/>
            <w:tcBorders>
              <w:top w:val="single" w:sz="4" w:color="D9D9D9"/>
              <w:left w:val="single" w:sz="4" w:color="D9D9D9"/>
              <w:bottom w:val="single" w:sz="4" w:color="D9D9D9"/>
              <w:right w:val="single" w:sz="4" w:color="D9D9D9"/>
            </w:tcBorders>
            <w:shd w:fill="183B56"/>
            <w:tcMar>
              <w:top w:w="85" w:type="dxa"/>
              <w:bottom w:w="85" w:type="dxa"/>
              <w:left w:w="85" w:type="dxa"/>
              <w:right w:w="85" w:type="dxa"/>
            </w:tcMar>
          </w:tcPr>
          <w:p>
            <w:pPr>
              <w:spacing w:after="40" w:before="40"/>
            </w:pPr>
            <w:r>
              <w:rPr>
                <w:b/>
                <w:color w:val="FFFFFF"/>
                <w:sz w:val="18"/>
              </w:rPr>
              <w:t>Qué explicar</w:t>
            </w:r>
          </w:p>
        </w:tc>
      </w:tr>
      <w:tr>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Models y ApiService</w:t>
            </w:r>
          </w:p>
        </w:tc>
        <w:tc>
          <w:tcPr>
            <w:tcW w:type="dxa" w:w="6192"/>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Modelos JSON y operaciones de Retrofit.</w:t>
            </w:r>
          </w:p>
        </w:tc>
      </w:tr>
      <w:tr>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Session, Repository y LocalStore</w:t>
            </w:r>
          </w:p>
        </w:tc>
        <w:tc>
          <w:tcPr>
            <w:tcW w:type="dxa" w:w="61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Sesión, permisos, SQLite local y sincronización.</w:t>
            </w:r>
          </w:p>
        </w:tc>
      </w:tr>
      <w:tr>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LoginActivity, HomeActivity y MainActivity</w:t>
            </w:r>
          </w:p>
        </w:tc>
        <w:tc>
          <w:tcPr>
            <w:tcW w:type="dxa" w:w="6192"/>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Pantallas, CRUD, formulario y evidencias.</w:t>
            </w:r>
          </w:p>
        </w:tc>
      </w:tr>
      <w:tr>
        <w:tc>
          <w:tcPr>
            <w:tcW w:type="dxa" w:w="37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ActaRenderer y PdfPreviewActivity</w:t>
            </w:r>
          </w:p>
        </w:tc>
        <w:tc>
          <w:tcPr>
            <w:tcW w:type="dxa" w:w="61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before="40"/>
            </w:pPr>
            <w:r>
              <w:rPr>
                <w:b w:val="0"/>
                <w:color w:val="000000"/>
                <w:sz w:val="18"/>
              </w:rPr>
              <w:t>Generación, control de espacio, vista previa y compartir PDF.</w:t>
            </w:r>
          </w:p>
        </w:tc>
      </w:tr>
      <w:tr>
        <w:tc>
          <w:tcPr>
            <w:tcW w:type="dxa" w:w="3744"/>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server, validation, database y pdf_acta</w:t>
            </w:r>
          </w:p>
        </w:tc>
        <w:tc>
          <w:tcPr>
            <w:tcW w:type="dxa" w:w="6192"/>
            <w:vAlign w:val="center"/>
            <w:tcBorders>
              <w:top w:val="single" w:sz="4" w:color="D9D9D9"/>
              <w:left w:val="single" w:sz="4" w:color="D9D9D9"/>
              <w:bottom w:val="single" w:sz="4" w:color="D9D9D9"/>
              <w:right w:val="single" w:sz="4" w:color="D9D9D9"/>
            </w:tcBorders>
            <w:shd w:fill="F3F5F7"/>
            <w:tcMar>
              <w:top w:w="85" w:type="dxa"/>
              <w:bottom w:w="85" w:type="dxa"/>
              <w:left w:w="85" w:type="dxa"/>
              <w:right w:w="85" w:type="dxa"/>
            </w:tcMar>
          </w:tcPr>
          <w:p>
            <w:pPr>
              <w:spacing w:after="40" w:before="40"/>
            </w:pPr>
            <w:r>
              <w:rPr>
                <w:b w:val="0"/>
                <w:color w:val="000000"/>
                <w:sz w:val="18"/>
              </w:rPr>
              <w:t>API, reglas, base del servidor y PDF REST.</w:t>
            </w:r>
          </w:p>
        </w:tc>
      </w:tr>
    </w:tbl>
    <w:p/>
    <w:p>
      <w:pPr>
        <w:pStyle w:val="Heading1"/>
      </w:pPr>
      <w:r>
        <w:t>Verificación y evidencias</w:t>
      </w:r>
    </w:p>
    <w:p>
      <w:r>
        <w:t>La batería test_api.py utiliza HTTP real contra una base SQLite temporal. Sus 22 pruebas cubren autenticación, roles, CRUD, duplicados, conflictos, fecha/hora, precios, hechos, firmas, estados, búsquedas, relaciones y PDF de dos páginas. El archivo ACTA_PRICE_DEMO.pdf contiene datos ficticios y firmas identificadas como DEMO.</w:t>
      </w:r>
    </w:p>
    <w:p>
      <w:r>
        <w:t>Las capturas y el video deben corresponder a una ejecución real. GUIA_VIDEO.txt indica el recorrido y las pantallas que debe mostrar el estudiante. El archivo ESTADO_VERIFICACION.txt registra qué verificaciones se completaron en esta entrega y qué debe comprobarse en la computadora de presentación.</w:t>
      </w:r>
    </w:p>
    <w:p>
      <w:pPr>
        <w:pStyle w:val="Heading1"/>
      </w:pPr>
      <w:r>
        <w:t>Referencias de implementación</w:t>
      </w:r>
    </w:p>
    <w:p>
      <w:r>
        <w:t>Guía de la clase: Semana_04_Proyecto_PRICE_REST (1)(1).pptx. Formato de referencia: documentos/ACTA PRICE.docx. Las bases legales se reproducen del material proporcionado, sin reinterpretarlas.</w:t>
      </w:r>
    </w:p>
    <w:p>
      <w:r>
        <w:t>Documentación oficial de Android: https://developer.android.com/build/releases/agp-9-0-0-release-notes</w:t>
        <w:br/>
        <w:t>Retrofit: https://github.com/square/retrofit</w:t>
        <w:br/>
        <w:t>Python HTTP: https://docs.python.org/3/library/http.server.html</w:t>
        <w:br/>
        <w:t>SQLite: https://www.sqlite.org/foreignkeys.html</w:t>
      </w:r>
    </w:p>
    <w:p>
      <w:r>
        <w:t>Esta versión está preparada para una práctica en una red local. El servidor HTTP de desarrollo y las cuentas de demostración deben sustituirse por una configuración de despliegue si posteriormente se publica un servicio en Internet.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PRICE · Documento técnico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del aplicativo PRICE</dc:title>
  <dc:subject/>
  <dc:creator>Proyecto académico PRICE</dc:creator>
  <cp:keywords/>
  <dc:description>generated by python-docx</dc:description>
  <cp:lastModifiedBy/>
  <cp:revision>1</cp:revision>
  <dcterms:created xsi:type="dcterms:W3CDTF">2013-12-23T23:15:00Z</dcterms:created>
  <dcterms:modified xsi:type="dcterms:W3CDTF">2013-12-23T23:15:00Z</dcterms:modified>
  <cp:category/>
</cp:coreProperties>
</file>