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Enterprise</w:t>
      </w:r>
      <w:r>
        <w:t xml:space="preserve"> </w:t>
      </w:r>
      <w:r>
        <w:t xml:space="preserve">Core</w:t>
      </w:r>
      <w:r>
        <w:t xml:space="preserve"> </w:t>
      </w:r>
      <w:r>
        <w:t xml:space="preserve">System</w:t>
      </w:r>
      <w:r>
        <w:t xml:space="preserve"> </w:t>
      </w:r>
      <w:r>
        <w:t xml:space="preserve">—</w:t>
      </w:r>
      <w:r>
        <w:t xml:space="preserve"> </w:t>
      </w:r>
      <w:r>
        <w:t xml:space="preserve">Plan</w:t>
      </w:r>
      <w:r>
        <w:t xml:space="preserve"> </w:t>
      </w:r>
      <w:r>
        <w:t xml:space="preserve">de</w:t>
      </w:r>
      <w:r>
        <w:t xml:space="preserve"> </w:t>
      </w:r>
      <w:r>
        <w:t xml:space="preserve">Delivery</w:t>
      </w:r>
      <w:r>
        <w:t xml:space="preserve"> </w:t>
      </w:r>
      <w:r>
        <w:t xml:space="preserve">du</w:t>
      </w:r>
      <w:r>
        <w:t xml:space="preserve"> </w:t>
      </w:r>
      <w:r>
        <w:t xml:space="preserve">MVP</w:t>
      </w:r>
    </w:p>
    <w:p>
      <w:pPr>
        <w:pStyle w:val="Author"/>
      </w:pPr>
      <w:r>
        <w:t xml:space="preserve">Architecture</w:t>
      </w:r>
      <w:r>
        <w:t xml:space="preserve"> </w:t>
      </w:r>
      <w:r>
        <w:t xml:space="preserve">/</w:t>
      </w:r>
      <w:r>
        <w:t xml:space="preserve"> </w:t>
      </w:r>
      <w:r>
        <w:t xml:space="preserve">Conseil</w:t>
      </w:r>
      <w:r>
        <w:t xml:space="preserve"> </w:t>
      </w:r>
      <w:r>
        <w:t xml:space="preserve">logiciel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—</w:t>
      </w:r>
      <w:r>
        <w:t xml:space="preserve"> </w:t>
      </w:r>
      <w:r>
        <w:t xml:space="preserve">Septembre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1" w:name="objet-du-document"/>
    <w:p>
      <w:pPr>
        <w:pStyle w:val="Heading1"/>
      </w:pPr>
      <w:r>
        <w:t xml:space="preserve">1. Objet du document</w:t>
      </w:r>
    </w:p>
    <w:p>
      <w:pPr>
        <w:pStyle w:val="FirstParagraph"/>
      </w:pPr>
      <w:r>
        <w:t xml:space="preserve">Ce document est le</w:t>
      </w:r>
      <w:r>
        <w:t xml:space="preserve"> </w:t>
      </w:r>
      <w:r>
        <w:rPr>
          <w:bCs/>
          <w:b/>
        </w:rPr>
        <w:t xml:space="preserve">plan opérationnel</w:t>
      </w:r>
      <w:r>
        <w:t xml:space="preserve"> </w:t>
      </w:r>
      <w:r>
        <w:t xml:space="preserve">de construction du MVP de l’Enterprise Core System. Il traduit les Spécifications Fonctionnelle et Technique en</w:t>
      </w:r>
      <w:r>
        <w:t xml:space="preserve"> </w:t>
      </w:r>
      <w:r>
        <w:rPr>
          <w:bCs/>
          <w:b/>
        </w:rPr>
        <w:t xml:space="preserve">lots de travail</w:t>
      </w:r>
      <w:r>
        <w:t xml:space="preserve">, avec dépendances, séquencement, jalons, structure de code concrète, critères de terminaison (Definition of Done) et stratégie de mise en production du produit pilote.</w:t>
      </w:r>
    </w:p>
    <w:p>
      <w:pPr>
        <w:pStyle w:val="BodyText"/>
      </w:pPr>
      <w:r>
        <w:t xml:space="preserve">Il répond à trois questions :</w:t>
      </w:r>
      <w:r>
        <w:t xml:space="preserve"> </w:t>
      </w:r>
      <w:r>
        <w:rPr>
          <w:iCs/>
          <w:i/>
        </w:rPr>
        <w:t xml:space="preserve">qui construit quoi, dans quel ordre, et comment sait-on qu’un lot est fini.</w:t>
      </w:r>
    </w:p>
    <w:bookmarkStart w:id="20" w:name="hypothèses-de-cadrage"/>
    <w:p>
      <w:pPr>
        <w:pStyle w:val="Heading2"/>
      </w:pPr>
      <w:r>
        <w:t xml:space="preserve">1.1 Hypothèses de cadrage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retenue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tech lead/architecte (≈50 %), 3 à 4 développeurs backend, 1 QA (≈50 %)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Durée MVP visée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20 semaines (5 mois)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Périmètre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 MoMo + Orange Money (paiement), WhatsApp auto-hébergé (notification)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Devise / 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XAF / Cameroun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Sprints de 2 semaines, revue de fin de sprint, démo par 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compatible AWS (S3, secrets manager, conteneurs)</w:t>
            </w:r>
          </w:p>
        </w:tc>
      </w:tr>
    </w:tbl>
    <w:p>
      <w:pPr>
        <w:pStyle w:val="BodyText"/>
      </w:pPr>
      <w:r>
        <w:t xml:space="preserve">Ces hypothèses conditionnent les estimations. Un changement d’effectif ou de périmètre décale proportionnellement les jalons.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appel-du-périmètre-mvp"/>
    <w:p>
      <w:pPr>
        <w:pStyle w:val="Heading1"/>
      </w:pPr>
      <w:r>
        <w:t xml:space="preserve">2. Rappel du périmètre MVP</w:t>
      </w:r>
    </w:p>
    <w:bookmarkStart w:id="22" w:name="dans-le-mvp"/>
    <w:p>
      <w:pPr>
        <w:pStyle w:val="Heading2"/>
      </w:pPr>
      <w:r>
        <w:t xml:space="preserve">2.1 Dans le MVP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Foundation</w:t>
      </w:r>
      <w:r>
        <w:t xml:space="preserve"> </w:t>
      </w:r>
      <w:r>
        <w:t xml:space="preserve">: Identity (Organizations, Projects, API keys, OAuth clients, opérateurs, RBAC), Parties (lazy), Audit, observabilité de base.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Money</w:t>
      </w:r>
      <w:r>
        <w:t xml:space="preserve"> </w:t>
      </w:r>
      <w:r>
        <w:t xml:space="preserve">: Ledger double-entrée, Wallet (crédit/débit/hold), idempotence.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Payment</w:t>
      </w:r>
      <w:r>
        <w:t xml:space="preserve"> </w:t>
      </w:r>
      <w:r>
        <w:t xml:space="preserve">: orchestration + adaptateurs MTN MoMo et Orange Money, sandbox/live.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Fees</w:t>
      </w:r>
      <w:r>
        <w:t xml:space="preserve"> </w:t>
      </w:r>
      <w:r>
        <w:t xml:space="preserve">: moteur de règles + distribution + simulation.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Events &amp; Webhooks</w:t>
      </w:r>
      <w:r>
        <w:t xml:space="preserve"> </w:t>
      </w:r>
      <w:r>
        <w:t xml:space="preserve">: transactional outbox, webhooks signés, retry/backoff/DLQ/replay.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Notification</w:t>
      </w:r>
      <w:r>
        <w:t xml:space="preserve"> </w:t>
      </w:r>
      <w:r>
        <w:t xml:space="preserve">: orchestration + adaptateur WhatsApp auto-hébergé (+ un canal de secours), templates, statuts canoniques.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Admin (minimal)</w:t>
      </w:r>
      <w:r>
        <w:t xml:space="preserve"> </w:t>
      </w:r>
      <w:r>
        <w:t xml:space="preserve">: projets, credentials, transactions, wallets, règles de frais, providers, webhooks, audit, réconciliation.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Migration pilote</w:t>
      </w:r>
      <w:r>
        <w:t xml:space="preserve"> </w:t>
      </w:r>
      <w:r>
        <w:t xml:space="preserve">en shadow mode.</w:t>
      </w:r>
    </w:p>
    <w:bookmarkEnd w:id="22"/>
    <w:bookmarkStart w:id="23" w:name="hors-mvp-phases-ultérieures"/>
    <w:p>
      <w:pPr>
        <w:pStyle w:val="Heading2"/>
      </w:pPr>
      <w:r>
        <w:t xml:space="preserve">2.2 Hors MVP (phases ultérieures)</w:t>
      </w:r>
    </w:p>
    <w:p>
      <w:pPr>
        <w:pStyle w:val="FirstParagraph"/>
      </w:pPr>
      <w:r>
        <w:t xml:space="preserve">Billing/Subscriptions complet, Storage/Media avancé, providers carte, Developer Platform externe et SDK publics, IdP end-user embarqué, extraction en services, RabbitMQ.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organisation-et-gouvernance"/>
    <w:p>
      <w:pPr>
        <w:pStyle w:val="Heading1"/>
      </w:pPr>
      <w:r>
        <w:t xml:space="preserve">3. Organisation et gouvernance</w:t>
      </w:r>
    </w:p>
    <w:bookmarkStart w:id="25" w:name="rôles"/>
    <w:p>
      <w:pPr>
        <w:pStyle w:val="Heading2"/>
      </w:pPr>
      <w:r>
        <w:t xml:space="preserve">3.1 Rôles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Lead / Architecte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 les frontières (Deptrac), valide les contrats API et le modèle ledger, arbitre les décisions.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« Money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Ledger, Wallet, concurrence, Fees. Le profil le plus rigoureux de l’équipe.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« Payment/Providers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Orchestration, adaptateurs MTN/Orange, réconciliation.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« Platform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Events/Outbox, Webhooks, Core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« Notification » (ou mutualisé)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 notification, adaptateur WhatsApp.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de contrat, tests de concurrence, scénarios sandbox providers.</w:t>
            </w:r>
          </w:p>
        </w:tc>
      </w:tr>
    </w:tbl>
    <w:bookmarkEnd w:id="25"/>
    <w:bookmarkStart w:id="26" w:name="comité-darchitecture"/>
    <w:p>
      <w:pPr>
        <w:pStyle w:val="Heading2"/>
      </w:pPr>
      <w:r>
        <w:t xml:space="preserve">3.2 Comité d’architecture</w:t>
      </w:r>
    </w:p>
    <w:p>
      <w:pPr>
        <w:pStyle w:val="FirstParagraph"/>
      </w:pPr>
      <w:r>
        <w:t xml:space="preserve">Un comité léger (tech lead + 1 pair) valide</w:t>
      </w:r>
      <w:r>
        <w:t xml:space="preserve"> </w:t>
      </w:r>
      <w:r>
        <w:rPr>
          <w:bCs/>
          <w:b/>
        </w:rPr>
        <w:t xml:space="preserve">toute demande d’entrée d’un domaine dans le Core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toute évolution de contrat d’API</w:t>
      </w:r>
      <w:r>
        <w:t xml:space="preserve">. C’est le garde-fou contre la dérive « fourre-tout ».</w:t>
      </w:r>
    </w:p>
    <w:bookmarkEnd w:id="26"/>
    <w:bookmarkStart w:id="27" w:name="sla-interne-envers-les-équipes-produit"/>
    <w:p>
      <w:pPr>
        <w:pStyle w:val="Heading2"/>
      </w:pPr>
      <w:r>
        <w:t xml:space="preserve">3.3 SLA interne envers les équipes produit</w:t>
      </w:r>
    </w:p>
    <w:p>
      <w:pPr>
        <w:pStyle w:val="FirstParagraph"/>
      </w:pPr>
      <w:r>
        <w:t xml:space="preserve">Pour que le Core reste politiquement viable en interne, l’équipe plateforme s’engage sur un délai de traitement des demandes des équipes consommatrices (ex. réponse sous 2 jours, évolution mineure de contrat sous un sprint). À défaut, les produits contournent le Core et l’investissement est perdu.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découpage-en-lots-de-travail"/>
    <w:p>
      <w:pPr>
        <w:pStyle w:val="Heading1"/>
      </w:pPr>
      <w:r>
        <w:t xml:space="preserve">4. Découpage en lots de travail</w:t>
      </w:r>
    </w:p>
    <w:p>
      <w:pPr>
        <w:pStyle w:val="FirstParagraph"/>
      </w:pPr>
      <w:r>
        <w:t xml:space="preserve">Huit lots. Chaque lot produit un incrément démontrable et testable.</w:t>
      </w:r>
    </w:p>
    <w:bookmarkStart w:id="29" w:name="lot-0-socle-projet"/>
    <w:p>
      <w:pPr>
        <w:pStyle w:val="Heading2"/>
      </w:pPr>
      <w:r>
        <w:t xml:space="preserve">Lot 0 — Socle projet</w:t>
      </w:r>
    </w:p>
    <w:p>
      <w:pPr>
        <w:pStyle w:val="FirstParagraph"/>
      </w:pPr>
      <w:r>
        <w:rPr>
          <w:bCs/>
          <w:b/>
        </w:rPr>
        <w:t xml:space="preserve">Contenu :</w:t>
      </w:r>
      <w:r>
        <w:t xml:space="preserve"> </w:t>
      </w:r>
      <w:r>
        <w:t xml:space="preserve">dépôt, structure en packages Composer (path repositories), configuration Deptrac, environnements sandbox/staging/live, CI/CD (lint, tests, Deptrac, build image), observabilité de base (logs structurés, correlation ID, health checks), squelette PostgreSQL + Redis + Horizon.</w:t>
      </w:r>
    </w:p>
    <w:p>
      <w:pPr>
        <w:pStyle w:val="BodyText"/>
      </w:pPr>
      <w:r>
        <w:rPr>
          <w:bCs/>
          <w:b/>
        </w:rPr>
        <w:t xml:space="preserve">Sortie :</w:t>
      </w:r>
      <w:r>
        <w:t xml:space="preserve"> </w:t>
      </w:r>
      <w:r>
        <w:t xml:space="preserve">un « hello capability » traversant l’authentification Project et écrivant un log corrélé.</w:t>
      </w:r>
    </w:p>
    <w:bookmarkEnd w:id="29"/>
    <w:bookmarkStart w:id="30" w:name="lot-1-identity-foundation"/>
    <w:p>
      <w:pPr>
        <w:pStyle w:val="Heading2"/>
      </w:pPr>
      <w:r>
        <w:t xml:space="preserve">Lot 1 — Identity &amp; Foundation</w:t>
      </w:r>
    </w:p>
    <w:p>
      <w:pPr>
        <w:pStyle w:val="FirstParagraph"/>
      </w:pPr>
      <w:r>
        <w:rPr>
          <w:bCs/>
          <w:b/>
        </w:rPr>
        <w:t xml:space="preserve">Contenu :</w:t>
      </w:r>
      <w:r>
        <w:t xml:space="preserve"> </w:t>
      </w:r>
      <w:r>
        <w:t xml:space="preserve">Organizations, Projects, API keys (hash + préfixe), OAuth clients (Passport, scopes), séparation sandbox/live, opérateurs + RBAC, module Audit, middleware de résolution Project/environnement/scopes.</w:t>
      </w:r>
    </w:p>
    <w:p>
      <w:pPr>
        <w:pStyle w:val="BodyText"/>
      </w:pPr>
      <w:r>
        <w:rPr>
          <w:bCs/>
          <w:b/>
        </w:rPr>
        <w:t xml:space="preserve">Sortie :</w:t>
      </w:r>
      <w:r>
        <w:t xml:space="preserve"> </w:t>
      </w:r>
      <w:r>
        <w:t xml:space="preserve">création d’une Organization, d’un Project, génération de credentials, appel authentifié tracé et audité.</w:t>
      </w:r>
    </w:p>
    <w:bookmarkEnd w:id="30"/>
    <w:bookmarkStart w:id="31" w:name="lot-2-money-core-ledger-wallet-parties"/>
    <w:p>
      <w:pPr>
        <w:pStyle w:val="Heading2"/>
      </w:pPr>
      <w:r>
        <w:t xml:space="preserve">Lot 2 — Money Core (Ledger + Wallet + Parties)</w:t>
      </w:r>
    </w:p>
    <w:p>
      <w:pPr>
        <w:pStyle w:val="FirstParagraph"/>
      </w:pPr>
      <w:r>
        <w:rPr>
          <w:bCs/>
          <w:b/>
        </w:rPr>
        <w:t xml:space="preserve">Contenu :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VerbatimChar"/>
        </w:rPr>
        <w:t xml:space="preserve">currencies</w:t>
      </w:r>
      <w:r>
        <w:t xml:space="preserve">, Parties (création lazy), Ledger double-entrée immuable, soldes matérialisés, Wallet (crédit/débit/hold) avec</w:t>
      </w:r>
      <w:r>
        <w:t xml:space="preserve"> </w:t>
      </w:r>
      <w:r>
        <w:rPr>
          <w:bCs/>
          <w:b/>
        </w:rPr>
        <w:t xml:space="preserve">verrou pessimiste + append atomique</w:t>
      </w:r>
      <w:r>
        <w:t xml:space="preserve">, idempotence, invariants ledger.</w:t>
      </w:r>
    </w:p>
    <w:p>
      <w:pPr>
        <w:pStyle w:val="BodyText"/>
      </w:pPr>
      <w:r>
        <w:rPr>
          <w:bCs/>
          <w:b/>
        </w:rPr>
        <w:t xml:space="preserve">Sortie :</w:t>
      </w:r>
      <w:r>
        <w:t xml:space="preserve"> </w:t>
      </w:r>
      <w:r>
        <w:t xml:space="preserve">créditer/débiter un wallet de façon cohérente et idempotente ; tests de concurrence verts.</w:t>
      </w:r>
      <w:r>
        <w:t xml:space="preserve"> </w:t>
      </w:r>
      <w:r>
        <w:rPr>
          <w:bCs/>
          <w:b/>
        </w:rPr>
        <w:t xml:space="preserve">C’est le lot le plus critique</w:t>
      </w:r>
      <w:r>
        <w:t xml:space="preserve"> </w:t>
      </w:r>
      <w:r>
        <w:t xml:space="preserve">— il ne démarre pas tant que le modèle de données ledger/wallet n’est pas validé par le comité d’architecture.</w:t>
      </w:r>
    </w:p>
    <w:bookmarkEnd w:id="31"/>
    <w:bookmarkStart w:id="32" w:name="lot-3-payment-fees"/>
    <w:p>
      <w:pPr>
        <w:pStyle w:val="Heading2"/>
      </w:pPr>
      <w:r>
        <w:t xml:space="preserve">Lot 3 — Payment &amp; Fees</w:t>
      </w:r>
    </w:p>
    <w:p>
      <w:pPr>
        <w:pStyle w:val="FirstParagraph"/>
      </w:pPr>
      <w:r>
        <w:rPr>
          <w:bCs/>
          <w:b/>
        </w:rPr>
        <w:t xml:space="preserve">Contenu :</w:t>
      </w:r>
      <w:r>
        <w:t xml:space="preserve"> </w:t>
      </w:r>
      <w:r>
        <w:t xml:space="preserve">Payment Intents + machine à états, interface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, adaptateurs</w:t>
      </w:r>
      <w:r>
        <w:t xml:space="preserve"> </w:t>
      </w:r>
      <w:r>
        <w:rPr>
          <w:bCs/>
          <w:b/>
        </w:rPr>
        <w:t xml:space="preserve">MtnMomoAdapter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OrangeMoneyAdapter</w:t>
      </w:r>
      <w:r>
        <w:t xml:space="preserve"> </w:t>
      </w:r>
      <w:r>
        <w:t xml:space="preserve">(sandbox d’abord), Provider Router, anti-corruption layer + statuts canoniques, moteur de frais (</w:t>
      </w:r>
      <w:r>
        <w:rPr>
          <w:rStyle w:val="VerbatimChar"/>
        </w:rPr>
        <w:t xml:space="preserve">fee_rules</w:t>
      </w:r>
      <w:r>
        <w:t xml:space="preserve">, évaluation, distribution, simulation,</w:t>
      </w:r>
      <w:r>
        <w:t xml:space="preserve"> </w:t>
      </w:r>
      <w:r>
        <w:rPr>
          <w:rStyle w:val="VerbatimChar"/>
        </w:rPr>
        <w:t xml:space="preserve">applied_fees</w:t>
      </w:r>
      <w:r>
        <w:t xml:space="preserve">), enregistrement des écritures au ledger via Lot 2.</w:t>
      </w:r>
    </w:p>
    <w:p>
      <w:pPr>
        <w:pStyle w:val="BodyText"/>
      </w:pPr>
      <w:r>
        <w:rPr>
          <w:bCs/>
          <w:b/>
        </w:rPr>
        <w:t xml:space="preserve">Sortie :</w:t>
      </w:r>
      <w:r>
        <w:t xml:space="preserve"> </w:t>
      </w:r>
      <w:r>
        <w:t xml:space="preserve">un produit crée un paiement via l’API Core, le Core route vers le provider, calcule les frais, enregistre au ledger, distribue.</w:t>
      </w:r>
    </w:p>
    <w:bookmarkEnd w:id="32"/>
    <w:bookmarkStart w:id="33" w:name="lot-4-events-webhooks"/>
    <w:p>
      <w:pPr>
        <w:pStyle w:val="Heading2"/>
      </w:pPr>
      <w:r>
        <w:t xml:space="preserve">Lot 4 — Events &amp; Webhooks</w:t>
      </w:r>
    </w:p>
    <w:p>
      <w:pPr>
        <w:pStyle w:val="FirstParagraph"/>
      </w:pPr>
      <w:r>
        <w:rPr>
          <w:bCs/>
          <w:b/>
        </w:rPr>
        <w:t xml:space="preserve">Contenu :</w:t>
      </w:r>
      <w:r>
        <w:t xml:space="preserve"> </w:t>
      </w:r>
      <w:r>
        <w:t xml:space="preserve">transactional outbox, relayeur (job Horizon), catalogue d’événements, module Webhook (endpoints, signature HMAC, retry/backoff, DLQ, replay), abonnements par Project.</w:t>
      </w:r>
    </w:p>
    <w:p>
      <w:pPr>
        <w:pStyle w:val="BodyText"/>
      </w:pPr>
      <w:r>
        <w:rPr>
          <w:bCs/>
          <w:b/>
        </w:rPr>
        <w:t xml:space="preserve">Sortie :</w:t>
      </w:r>
      <w:r>
        <w:t xml:space="preserve"> </w:t>
      </w:r>
      <w:r>
        <w:rPr>
          <w:rStyle w:val="VerbatimChar"/>
        </w:rPr>
        <w:t xml:space="preserve">payment.completed</w:t>
      </w:r>
      <w:r>
        <w:t xml:space="preserve">/</w:t>
      </w:r>
      <w:r>
        <w:rPr>
          <w:rStyle w:val="VerbatimChar"/>
        </w:rPr>
        <w:t xml:space="preserve">payment.failed</w:t>
      </w:r>
      <w:r>
        <w:t xml:space="preserve"> </w:t>
      </w:r>
      <w:r>
        <w:t xml:space="preserve">publiés et livrés à une application via webhook signé, avec retry en cas d’échec.</w:t>
      </w:r>
    </w:p>
    <w:bookmarkEnd w:id="33"/>
    <w:bookmarkStart w:id="34" w:name="lot-5-notification-whatsapp"/>
    <w:p>
      <w:pPr>
        <w:pStyle w:val="Heading2"/>
      </w:pPr>
      <w:r>
        <w:t xml:space="preserve">Lot 5 — Notification &amp; WhatsApp</w:t>
      </w:r>
    </w:p>
    <w:p>
      <w:pPr>
        <w:pStyle w:val="FirstParagraph"/>
      </w:pPr>
      <w:r>
        <w:rPr>
          <w:bCs/>
          <w:b/>
        </w:rPr>
        <w:t xml:space="preserve">Contenu :</w:t>
      </w:r>
      <w:r>
        <w:t xml:space="preserve"> </w:t>
      </w:r>
      <w:r>
        <w:t xml:space="preserve">interface</w:t>
      </w:r>
      <w:r>
        <w:t xml:space="preserve"> </w:t>
      </w:r>
      <w:r>
        <w:rPr>
          <w:rStyle w:val="VerbatimChar"/>
        </w:rPr>
        <w:t xml:space="preserve">NotificationChannelProvider</w:t>
      </w:r>
      <w:r>
        <w:t xml:space="preserve">, orchestration multi-canal,</w:t>
      </w:r>
      <w:r>
        <w:t xml:space="preserve"> </w:t>
      </w:r>
      <w:r>
        <w:rPr>
          <w:bCs/>
          <w:b/>
        </w:rPr>
        <w:t xml:space="preserve">WhatsAppSelfHostedAdapter</w:t>
      </w:r>
      <w:r>
        <w:t xml:space="preserve"> </w:t>
      </w:r>
      <w:r>
        <w:t xml:space="preserve">(+ un canal de secours), Notification Router + fallback, templates versionnés (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template_status</w:t>
      </w:r>
      <w:r>
        <w:t xml:space="preserve">), callbacks de statut entrants, statuts canoniques.</w:t>
      </w:r>
    </w:p>
    <w:p>
      <w:pPr>
        <w:pStyle w:val="BodyText"/>
      </w:pPr>
      <w:r>
        <w:rPr>
          <w:bCs/>
          <w:b/>
        </w:rPr>
        <w:t xml:space="preserve">Sortie :</w:t>
      </w:r>
      <w:r>
        <w:t xml:space="preserve"> </w:t>
      </w:r>
      <w:r>
        <w:t xml:space="preserve">un produit envoie une notification WhatsApp via l’API Core sans connaître le provider ; changer de provider WhatsApp n’impacte pas l’app.</w:t>
      </w:r>
    </w:p>
    <w:bookmarkEnd w:id="34"/>
    <w:bookmarkStart w:id="35" w:name="lot-6-core-admin-réconciliation"/>
    <w:p>
      <w:pPr>
        <w:pStyle w:val="Heading2"/>
      </w:pPr>
      <w:r>
        <w:t xml:space="preserve">Lot 6 — Core Admin &amp; Réconciliation</w:t>
      </w:r>
    </w:p>
    <w:p>
      <w:pPr>
        <w:pStyle w:val="FirstParagraph"/>
      </w:pPr>
      <w:r>
        <w:rPr>
          <w:bCs/>
          <w:b/>
        </w:rPr>
        <w:t xml:space="preserve">Contenu :</w:t>
      </w:r>
      <w:r>
        <w:t xml:space="preserve"> </w:t>
      </w:r>
      <w:r>
        <w:t xml:space="preserve">interface d’administration minimale (projets, credentials, transactions, wallets/ledger, règles de frais, providers, webhooks, audit), écrans de réconciliation (rapprochement Core ↔ provider), monitoring opérationnel et DLQ.</w:t>
      </w:r>
    </w:p>
    <w:p>
      <w:pPr>
        <w:pStyle w:val="BodyText"/>
      </w:pPr>
      <w:r>
        <w:rPr>
          <w:bCs/>
          <w:b/>
        </w:rPr>
        <w:t xml:space="preserve">Sortie :</w:t>
      </w:r>
      <w:r>
        <w:t xml:space="preserve"> </w:t>
      </w:r>
      <w:r>
        <w:t xml:space="preserve">un opérateur pilote la plateforme, rejoue un webhook, consulte l’audit et réconcilie une journée de transactions.</w:t>
      </w:r>
    </w:p>
    <w:bookmarkEnd w:id="35"/>
    <w:bookmarkStart w:id="36" w:name="lot-7-migration-pilote-go-live"/>
    <w:p>
      <w:pPr>
        <w:pStyle w:val="Heading2"/>
      </w:pPr>
      <w:r>
        <w:t xml:space="preserve">Lot 7 — Migration pilote &amp; Go-live</w:t>
      </w:r>
    </w:p>
    <w:p>
      <w:pPr>
        <w:pStyle w:val="FirstParagraph"/>
      </w:pPr>
      <w:r>
        <w:rPr>
          <w:bCs/>
          <w:b/>
        </w:rPr>
        <w:t xml:space="preserve">Contenu :</w:t>
      </w:r>
      <w:r>
        <w:t xml:space="preserve"> </w:t>
      </w:r>
      <w:r>
        <w:t xml:space="preserve">intégration du produit pilote,</w:t>
      </w:r>
      <w:r>
        <w:t xml:space="preserve"> </w:t>
      </w:r>
      <w:r>
        <w:rPr>
          <w:bCs/>
          <w:b/>
        </w:rPr>
        <w:t xml:space="preserve">shadow mode</w:t>
      </w:r>
      <w:r>
        <w:t xml:space="preserve"> </w:t>
      </w:r>
      <w:r>
        <w:t xml:space="preserve">(double exécution ancienne/nouvelle implémentation, sans effet réel côté nouveau), réconciliation automatique des écarts, bascule progressive (canary), dépréciation de l’ancienne implémentation.</w:t>
      </w:r>
    </w:p>
    <w:p>
      <w:pPr>
        <w:pStyle w:val="BodyText"/>
      </w:pPr>
      <w:r>
        <w:rPr>
          <w:bCs/>
          <w:b/>
        </w:rPr>
        <w:t xml:space="preserve">Sortie :</w:t>
      </w:r>
      <w:r>
        <w:t xml:space="preserve"> </w:t>
      </w:r>
      <w:r>
        <w:t xml:space="preserve">le produit pilote encaisse en production via le Core, avec réconciliation démontrée avant bascule complète.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épendances-entre-lots"/>
    <w:p>
      <w:pPr>
        <w:pStyle w:val="Heading1"/>
      </w:pPr>
      <w:r>
        <w:t xml:space="preserve">5. Dépendances entre 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Peut démarrer en parallèle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1 (Project, isolation)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4 (partie infra outbox)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2 (ledger), Lot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1 ; couplé à Lot 3 pour les événements 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2 (fin)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4 (outbox/événements)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6 (début)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Lots 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Chemin critique :</w:t>
      </w:r>
      <w:r>
        <w:t xml:space="preserve"> </w:t>
      </w:r>
      <w:r>
        <w:rPr>
          <w:bCs/>
          <w:b/>
        </w:rPr>
        <w:t xml:space="preserve">Lot 0 → Lot 1 → Lot 2 → Lot 3 → Lot 4 → Lot 7</w:t>
      </w:r>
      <w:r>
        <w:t xml:space="preserve">. Le Money Core (Lot 2) est le nœud de risque : tout retard s’y propage.</w:t>
      </w:r>
    </w:p>
    <w:p>
      <w:r>
        <w:pict>
          <v:rect style="width:0;height:1.5pt" o:hralign="center" o:hrstd="t" o:hr="t"/>
        </w:pict>
      </w:r>
    </w:p>
    <w:bookmarkEnd w:id="38"/>
    <w:bookmarkStart w:id="39" w:name="jalons-et-séquencement-20-semaines"/>
    <w:p>
      <w:pPr>
        <w:pStyle w:val="Heading1"/>
      </w:pPr>
      <w:r>
        <w:t xml:space="preserve">6. Jalons et séquencement (≈ 20 semaines)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Lot(s) actif(s)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S1–S2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— Socle en place, CI/CD verte, Deptrac actif.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S3–S5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— Identity opérationnelle, credentials sandbox/live.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S5–S9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— Money Core : wallet cohérent, tests de concurrence verts.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S9–S13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— Paiement bout-en-bout en sandbox (MTN + Orange) avec frais.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S11–S14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— Événements + webhooks signés fiables.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S13–S16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— Notification WhatsApp via Core, fallback vérifié.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S15–S18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— Core Admin + réconciliation utilisables.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S17–S20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 — Pilote en shadow mode, puis go-live canary.</w:t>
            </w:r>
          </w:p>
        </w:tc>
      </w:tr>
    </w:tbl>
    <w:p>
      <w:pPr>
        <w:pStyle w:val="BodyText"/>
      </w:pPr>
      <w:r>
        <w:t xml:space="preserve">Les chevauchements reflètent la parallélisation possible avec 3–4 développeurs. Une revue de risque est tenue à M2 et à M7.</w:t>
      </w:r>
    </w:p>
    <w:p>
      <w:r>
        <w:pict>
          <v:rect style="width:0;height:1.5pt" o:hralign="center" o:hrstd="t" o:hr="t"/>
        </w:pict>
      </w:r>
    </w:p>
    <w:bookmarkEnd w:id="39"/>
    <w:bookmarkStart w:id="45" w:name="structure-de-code-laravel"/>
    <w:p>
      <w:pPr>
        <w:pStyle w:val="Heading1"/>
      </w:pPr>
      <w:r>
        <w:t xml:space="preserve">7. Structure de code Laravel</w:t>
      </w:r>
    </w:p>
    <w:bookmarkStart w:id="40" w:name="principe"/>
    <w:p>
      <w:pPr>
        <w:pStyle w:val="Heading2"/>
      </w:pPr>
      <w:r>
        <w:t xml:space="preserve">7.1 Principe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modular monolith</w:t>
      </w:r>
      <w:r>
        <w:t xml:space="preserve"> </w:t>
      </w:r>
      <w:r>
        <w:t xml:space="preserve">: une seule application Laravel, mais chaque bounded context est un</w:t>
      </w:r>
      <w:r>
        <w:t xml:space="preserve"> </w:t>
      </w:r>
      <w:r>
        <w:rPr>
          <w:bCs/>
          <w:b/>
        </w:rPr>
        <w:t xml:space="preserve">package Composer interne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, référencé via</w:t>
      </w:r>
      <w:r>
        <w:t xml:space="preserve"> </w:t>
      </w:r>
      <w:r>
        <w:rPr>
          <w:bCs/>
          <w:b/>
        </w:rPr>
        <w:t xml:space="preserve">path repositories</w:t>
      </w:r>
      <w:r>
        <w:t xml:space="preserve">. Les frontières sont vérifiées automatiquement par</w:t>
      </w:r>
      <w:r>
        <w:t xml:space="preserve"> </w:t>
      </w:r>
      <w:r>
        <w:rPr>
          <w:bCs/>
          <w:b/>
        </w:rPr>
        <w:t xml:space="preserve">Deptrac</w:t>
      </w:r>
      <w:r>
        <w:t xml:space="preserve"> </w:t>
      </w:r>
      <w:r>
        <w:t xml:space="preserve">en CI. Aucun module n’accède aux tables d’un autre : uniquement via interfaces publiques et événements.</w:t>
      </w:r>
    </w:p>
    <w:bookmarkEnd w:id="40"/>
    <w:bookmarkStart w:id="41" w:name="arborescence-cible"/>
    <w:p>
      <w:pPr>
        <w:pStyle w:val="Heading2"/>
      </w:pPr>
      <w:r>
        <w:t xml:space="preserve">7.2 Arborescence cible</w:t>
      </w:r>
    </w:p>
    <w:p>
      <w:pPr>
        <w:pStyle w:val="SourceCode"/>
      </w:pPr>
      <w:r>
        <w:rPr>
          <w:rStyle w:val="VerbatimChar"/>
        </w:rPr>
        <w:t xml:space="preserve">core-system/</w:t>
      </w:r>
      <w:r>
        <w:br/>
      </w:r>
      <w:r>
        <w:rPr>
          <w:rStyle w:val="VerbatimChar"/>
        </w:rPr>
        <w:t xml:space="preserve">├── app/                          # coquille Laravel (bootstrap, providers globaux)</w:t>
      </w:r>
      <w:r>
        <w:br/>
      </w:r>
      <w:r>
        <w:rPr>
          <w:rStyle w:val="VerbatimChar"/>
        </w:rPr>
        <w:t xml:space="preserve">├── bootstrap/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migrations/               # migrations transverses uniquement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identity/</w:t>
      </w:r>
      <w:r>
        <w:br/>
      </w:r>
      <w:r>
        <w:rPr>
          <w:rStyle w:val="VerbatimChar"/>
        </w:rPr>
        <w:t xml:space="preserve">│   │   ├── composer.json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├── Http/             # controllers, requests, resources</w:t>
      </w:r>
      <w:r>
        <w:br/>
      </w:r>
      <w:r>
        <w:rPr>
          <w:rStyle w:val="VerbatimChar"/>
        </w:rPr>
        <w:t xml:space="preserve">│   │   │   ├── Services/         # logique applicative</w:t>
      </w:r>
      <w:r>
        <w:br/>
      </w:r>
      <w:r>
        <w:rPr>
          <w:rStyle w:val="VerbatimChar"/>
        </w:rPr>
        <w:t xml:space="preserve">│   │   │   ├── Contracts/        # interfaces publiques du module</w:t>
      </w:r>
      <w:r>
        <w:br/>
      </w:r>
      <w:r>
        <w:rPr>
          <w:rStyle w:val="VerbatimChar"/>
        </w:rPr>
        <w:t xml:space="preserve">│   │   │   ├── Events/</w:t>
      </w:r>
      <w:r>
        <w:br/>
      </w:r>
      <w:r>
        <w:rPr>
          <w:rStyle w:val="VerbatimChar"/>
        </w:rPr>
        <w:t xml:space="preserve">│   │   │   └── IdentityServiceProvider.php</w:t>
      </w:r>
      <w:r>
        <w:br/>
      </w:r>
      <w:r>
        <w:rPr>
          <w:rStyle w:val="VerbatimChar"/>
        </w:rPr>
        <w:t xml:space="preserve">│   │   ├── database/migrations/</w:t>
      </w:r>
      <w:r>
        <w:br/>
      </w:r>
      <w:r>
        <w:rPr>
          <w:rStyle w:val="VerbatimChar"/>
        </w:rPr>
        <w:t xml:space="preserve">│   │   └── tests/</w:t>
      </w:r>
      <w:r>
        <w:br/>
      </w:r>
      <w:r>
        <w:rPr>
          <w:rStyle w:val="VerbatimChar"/>
        </w:rPr>
        <w:t xml:space="preserve">│   ├── parties/</w:t>
      </w:r>
      <w:r>
        <w:br/>
      </w:r>
      <w:r>
        <w:rPr>
          <w:rStyle w:val="VerbatimChar"/>
        </w:rPr>
        <w:t xml:space="preserve">│   ├── ledger/</w:t>
      </w:r>
      <w:r>
        <w:br/>
      </w:r>
      <w:r>
        <w:rPr>
          <w:rStyle w:val="VerbatimChar"/>
        </w:rPr>
        <w:t xml:space="preserve">│   ├── wallet/</w:t>
      </w:r>
      <w:r>
        <w:br/>
      </w:r>
      <w:r>
        <w:rPr>
          <w:rStyle w:val="VerbatimChar"/>
        </w:rPr>
        <w:t xml:space="preserve">│   ├── payment/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Contracts/</w:t>
      </w:r>
      <w:r>
        <w:br/>
      </w:r>
      <w:r>
        <w:rPr>
          <w:rStyle w:val="VerbatimChar"/>
        </w:rPr>
        <w:t xml:space="preserve">│   │   │   │   └── PaymentProvider.php      # le PORT</w:t>
      </w:r>
      <w:r>
        <w:br/>
      </w:r>
      <w:r>
        <w:rPr>
          <w:rStyle w:val="VerbatimChar"/>
        </w:rPr>
        <w:t xml:space="preserve">│   │   │   ├── Providers/                   # les ADAPTATEURS</w:t>
      </w:r>
      <w:r>
        <w:br/>
      </w:r>
      <w:r>
        <w:rPr>
          <w:rStyle w:val="VerbatimChar"/>
        </w:rPr>
        <w:t xml:space="preserve">│   │   │   │   ├── Mtn/MtnMomoAdapter.php</w:t>
      </w:r>
      <w:r>
        <w:br/>
      </w:r>
      <w:r>
        <w:rPr>
          <w:rStyle w:val="VerbatimChar"/>
        </w:rPr>
        <w:t xml:space="preserve">│   │   │   │   └── Orange/OrangeMoneyAdapter.php</w:t>
      </w:r>
      <w:r>
        <w:br/>
      </w:r>
      <w:r>
        <w:rPr>
          <w:rStyle w:val="VerbatimChar"/>
        </w:rPr>
        <w:t xml:space="preserve">│   │   │   ├── Routing/PaymentRouter.php</w:t>
      </w:r>
      <w:r>
        <w:br/>
      </w:r>
      <w:r>
        <w:rPr>
          <w:rStyle w:val="VerbatimChar"/>
        </w:rPr>
        <w:t xml:space="preserve">│   │   │   ├── StateMachine/</w:t>
      </w:r>
      <w:r>
        <w:br/>
      </w:r>
      <w:r>
        <w:rPr>
          <w:rStyle w:val="VerbatimChar"/>
        </w:rPr>
        <w:t xml:space="preserve">│   │   │   ├── Http/</w:t>
      </w:r>
      <w:r>
        <w:br/>
      </w:r>
      <w:r>
        <w:rPr>
          <w:rStyle w:val="VerbatimChar"/>
        </w:rPr>
        <w:t xml:space="preserve">│   │   │   └── PaymentServiceProvider.php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fees/</w:t>
      </w:r>
      <w:r>
        <w:br/>
      </w:r>
      <w:r>
        <w:rPr>
          <w:rStyle w:val="VerbatimChar"/>
        </w:rPr>
        <w:t xml:space="preserve">│   ├── notification/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Contracts/</w:t>
      </w:r>
      <w:r>
        <w:br/>
      </w:r>
      <w:r>
        <w:rPr>
          <w:rStyle w:val="VerbatimChar"/>
        </w:rPr>
        <w:t xml:space="preserve">│   │   │   │   └── NotificationChannelProvider.php   # le PORT</w:t>
      </w:r>
      <w:r>
        <w:br/>
      </w:r>
      <w:r>
        <w:rPr>
          <w:rStyle w:val="VerbatimChar"/>
        </w:rPr>
        <w:t xml:space="preserve">│   │   │   ├── Providers/</w:t>
      </w:r>
      <w:r>
        <w:br/>
      </w:r>
      <w:r>
        <w:rPr>
          <w:rStyle w:val="VerbatimChar"/>
        </w:rPr>
        <w:t xml:space="preserve">│   │   │   │   └── WhatsApp/WhatsAppSelfHostedAdapter.php</w:t>
      </w:r>
      <w:r>
        <w:br/>
      </w:r>
      <w:r>
        <w:rPr>
          <w:rStyle w:val="VerbatimChar"/>
        </w:rPr>
        <w:t xml:space="preserve">│   │   │   ├── Routing/NotificationRouter.php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├── events/                   # outbox + dispatch</w:t>
      </w:r>
      <w:r>
        <w:br/>
      </w:r>
      <w:r>
        <w:rPr>
          <w:rStyle w:val="VerbatimChar"/>
        </w:rPr>
        <w:t xml:space="preserve">│   ├── webhook/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└── admin/                    # Core Admin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api.php                   # agrège les routes exposées par les modules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Contract/                 # tests de contrat (Pact)</w:t>
      </w:r>
      <w:r>
        <w:br/>
      </w:r>
      <w:r>
        <w:rPr>
          <w:rStyle w:val="VerbatimChar"/>
        </w:rPr>
        <w:t xml:space="preserve">│   └── Integration/</w:t>
      </w:r>
      <w:r>
        <w:br/>
      </w:r>
      <w:r>
        <w:rPr>
          <w:rStyle w:val="VerbatimChar"/>
        </w:rPr>
        <w:t xml:space="preserve">├── deptrac.yaml                  # règles de frontières</w:t>
      </w:r>
      <w:r>
        <w:br/>
      </w:r>
      <w:r>
        <w:rPr>
          <w:rStyle w:val="VerbatimChar"/>
        </w:rPr>
        <w:t xml:space="preserve">└── composer.json                 # path repositories vers packages/*</w:t>
      </w:r>
    </w:p>
    <w:bookmarkEnd w:id="41"/>
    <w:bookmarkStart w:id="42" w:name="composer.json-path-repositories"/>
    <w:p>
      <w:pPr>
        <w:pStyle w:val="Heading2"/>
      </w:pPr>
      <w:r>
        <w:t xml:space="preserve">7.3 composer.json — path repositories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"packages/*"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"laravel/framework"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"laravel/sanctum"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"laravel/passport"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"brick/money"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"core/identity"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"core/ledger"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"core/wallet"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"core/payment"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"core/notification"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Chaque package déclare son</w:t>
      </w:r>
      <w:r>
        <w:t xml:space="preserve"> </w:t>
      </w:r>
      <w:r>
        <w:rPr>
          <w:rStyle w:val="VerbatimChar"/>
        </w:rPr>
        <w:t xml:space="preserve">ServiceProvider</w:t>
      </w:r>
      <w:r>
        <w:t xml:space="preserve">, enregistré automatiquement, qui publie ses routes, migrations et bindings d’interfaces.</w:t>
      </w:r>
    </w:p>
    <w:bookmarkEnd w:id="42"/>
    <w:bookmarkStart w:id="43" w:name="deptrac.yaml-frontières-extrait"/>
    <w:p>
      <w:pPr>
        <w:pStyle w:val="Heading2"/>
      </w:pPr>
      <w:r>
        <w:t xml:space="preserve">7.4 deptrac.yaml — frontières (extrait)</w:t>
      </w:r>
    </w:p>
    <w:p>
      <w:pPr>
        <w:pStyle w:val="SourceCode"/>
      </w:pPr>
      <w:r>
        <w:rPr>
          <w:rStyle w:val="FunctionTok"/>
        </w:rPr>
        <w:t xml:space="preserve">deptrac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./packages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Identity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collectors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packages/identity/.*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Ledger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collectors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packages/ledger/.*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Wallet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collectors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packages/wallet/.*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collectors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packages/payment/.*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collectors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packages/fees/.*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Ledger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Fees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Identity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Parties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Events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Wallet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Ledger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Parties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Events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Ledger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Parties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Ledger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# le Ledger ne dépend de personne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Une dépendance non déclarée fait</w:t>
      </w:r>
      <w:r>
        <w:t xml:space="preserve"> </w:t>
      </w:r>
      <w:r>
        <w:rPr>
          <w:bCs/>
          <w:b/>
        </w:rPr>
        <w:t xml:space="preserve">échouer la CI</w:t>
      </w:r>
      <w:r>
        <w:t xml:space="preserve">. Le Ledger, cœur financier, ne dépend d’aucun autre module — c’est la règle la plus importante.</w:t>
      </w:r>
    </w:p>
    <w:bookmarkEnd w:id="43"/>
    <w:bookmarkStart w:id="44" w:name="liaison-port-adaptateur"/>
    <w:p>
      <w:pPr>
        <w:pStyle w:val="Heading2"/>
      </w:pPr>
      <w:r>
        <w:t xml:space="preserve">7.5 Liaison Port ↔ Adaptateur</w:t>
      </w:r>
    </w:p>
    <w:p>
      <w:pPr>
        <w:pStyle w:val="FirstParagraph"/>
      </w:pPr>
      <w:r>
        <w:t xml:space="preserve">Dans le</w:t>
      </w:r>
      <w:r>
        <w:t xml:space="preserve"> </w:t>
      </w:r>
      <w:r>
        <w:rPr>
          <w:rStyle w:val="VerbatimChar"/>
        </w:rPr>
        <w:t xml:space="preserve">ServiceProvider</w:t>
      </w:r>
      <w:r>
        <w:t xml:space="preserve"> </w:t>
      </w:r>
      <w:r>
        <w:t xml:space="preserve">du module Payment, les adaptateurs sont enregistrés et résolus par le Router selon la configuration du Project 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-&gt;app-&gt;tag(</w:t>
      </w:r>
      <w:r>
        <w:br/>
      </w:r>
      <w:r>
        <w:rPr>
          <w:rStyle w:val="NormalTok"/>
        </w:rPr>
        <w:t xml:space="preserve">        [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tnMomoAdapter::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rangeMoneyAdapter::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'payment.providers'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-&gt;app-&gt;bind(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aymentRouter::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aymentRouter(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-&gt;tagged(</w:t>
      </w:r>
      <w:r>
        <w:rPr>
          <w:rStyle w:val="StringTok"/>
        </w:rPr>
        <w:t xml:space="preserve">'payment.providers'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Ajouter un provider = créer une classe implémentant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, la tagger, et l’activer dans la config du Project.</w:t>
      </w:r>
      <w:r>
        <w:t xml:space="preserve"> </w:t>
      </w:r>
      <w:r>
        <w:rPr>
          <w:bCs/>
          <w:b/>
        </w:rPr>
        <w:t xml:space="preserve">Aucune application consommatrice ne change.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nvironnements-et-cicd"/>
    <w:p>
      <w:pPr>
        <w:pStyle w:val="Heading1"/>
      </w:pPr>
      <w:r>
        <w:t xml:space="preserve">8. Environnements et CI/CD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d’intégration, providers en mode simulateur, aucun argent réel.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Pré-production, données réalistes anonymisées, providers en sandbox.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Production, providers réels, accès restreint et audité.</w:t>
            </w:r>
          </w:p>
        </w:tc>
      </w:tr>
    </w:tbl>
    <w:p>
      <w:pPr>
        <w:pStyle w:val="BodyText"/>
      </w:pPr>
      <w:r>
        <w:t xml:space="preserve">Pipeline CI (sur chaque merge request) : lint → tests unitaires → tests de contrat →</w:t>
      </w:r>
      <w:r>
        <w:t xml:space="preserve"> </w:t>
      </w:r>
      <w:r>
        <w:rPr>
          <w:bCs/>
          <w:b/>
        </w:rPr>
        <w:t xml:space="preserve">Deptrac</w:t>
      </w:r>
      <w:r>
        <w:t xml:space="preserve"> </w:t>
      </w:r>
      <w:r>
        <w:t xml:space="preserve">→ build image → déploiement sandbox. Les migrations financières (irréversibles) sont revues manuellement et jouées de façon contrôlée. Un déploiement live passe par staging et une approbation.</w:t>
      </w:r>
    </w:p>
    <w:p>
      <w:r>
        <w:pict>
          <v:rect style="width:0;height:1.5pt" o:hralign="center" o:hrstd="t" o:hr="t"/>
        </w:pict>
      </w:r>
    </w:p>
    <w:bookmarkEnd w:id="46"/>
    <w:bookmarkStart w:id="47" w:name="definition-of-done-par-lot"/>
    <w:p>
      <w:pPr>
        <w:pStyle w:val="Heading1"/>
      </w:pPr>
      <w:r>
        <w:t xml:space="preserve">9. Definition of Done (par lot)</w:t>
      </w:r>
    </w:p>
    <w:p>
      <w:pPr>
        <w:pStyle w:val="FirstParagraph"/>
      </w:pPr>
      <w:r>
        <w:t xml:space="preserve">Un lot n’est « fini » que si</w:t>
      </w:r>
      <w:r>
        <w:t xml:space="preserve"> </w:t>
      </w:r>
      <w:r>
        <w:rPr>
          <w:bCs/>
          <w:b/>
        </w:rPr>
        <w:t xml:space="preserve">tous</w:t>
      </w:r>
      <w:r>
        <w:t xml:space="preserve"> </w:t>
      </w:r>
      <w:r>
        <w:t xml:space="preserve">les points ci-dessous sont vrais :</w:t>
      </w:r>
    </w:p>
    <w:p>
      <w:pPr>
        <w:numPr>
          <w:ilvl w:val="0"/>
          <w:numId w:val="1002"/>
        </w:numPr>
        <w:pStyle w:val="Compact"/>
      </w:pPr>
      <w:r>
        <w:t xml:space="preserve">Code revu (au moins un pair), frontières Deptrac respectées (CI verte).</w:t>
      </w:r>
    </w:p>
    <w:p>
      <w:pPr>
        <w:numPr>
          <w:ilvl w:val="0"/>
          <w:numId w:val="1002"/>
        </w:numPr>
        <w:pStyle w:val="Compact"/>
      </w:pPr>
      <w:r>
        <w:t xml:space="preserve">Tests unitaires et d’intégration passants ; pour Money : invariants ledger et tests de concurrence passants.</w:t>
      </w:r>
    </w:p>
    <w:p>
      <w:pPr>
        <w:numPr>
          <w:ilvl w:val="0"/>
          <w:numId w:val="1002"/>
        </w:numPr>
        <w:pStyle w:val="Compact"/>
      </w:pPr>
      <w:r>
        <w:t xml:space="preserve">Contrats d’API publiés en OpenAPI et couverts par des tests de contrat.</w:t>
      </w:r>
    </w:p>
    <w:p>
      <w:pPr>
        <w:numPr>
          <w:ilvl w:val="0"/>
          <w:numId w:val="1002"/>
        </w:numPr>
        <w:pStyle w:val="Compact"/>
      </w:pPr>
      <w:r>
        <w:t xml:space="preserve">Idempotence vérifiée sur toutes les mutations concernées.</w:t>
      </w:r>
    </w:p>
    <w:p>
      <w:pPr>
        <w:numPr>
          <w:ilvl w:val="0"/>
          <w:numId w:val="1002"/>
        </w:numPr>
        <w:pStyle w:val="Compact"/>
      </w:pPr>
      <w:r>
        <w:t xml:space="preserve">Événements émis via l’outbox (pas d’émission hors transaction).</w:t>
      </w:r>
    </w:p>
    <w:p>
      <w:pPr>
        <w:numPr>
          <w:ilvl w:val="0"/>
          <w:numId w:val="1002"/>
        </w:numPr>
        <w:pStyle w:val="Compact"/>
      </w:pPr>
      <w:r>
        <w:t xml:space="preserve">Opérations sensibles présentes dans l’audit, corrélées.</w:t>
      </w:r>
    </w:p>
    <w:p>
      <w:pPr>
        <w:numPr>
          <w:ilvl w:val="0"/>
          <w:numId w:val="1002"/>
        </w:numPr>
        <w:pStyle w:val="Compact"/>
      </w:pPr>
      <w:r>
        <w:t xml:space="preserve">Documentation du module à jour (README + endpoints).</w:t>
      </w:r>
    </w:p>
    <w:p>
      <w:pPr>
        <w:numPr>
          <w:ilvl w:val="0"/>
          <w:numId w:val="1002"/>
        </w:numPr>
        <w:pStyle w:val="Compact"/>
      </w:pPr>
      <w:r>
        <w:t xml:space="preserve">Démo réalisée en fin de sprint.</w:t>
      </w:r>
    </w:p>
    <w:p>
      <w:pPr>
        <w:pStyle w:val="FirstParagraph"/>
      </w:pPr>
      <w:r>
        <w:t xml:space="preserve">Definition of Done spécifique</w:t>
      </w:r>
      <w:r>
        <w:t xml:space="preserve"> </w:t>
      </w:r>
      <w:r>
        <w:rPr>
          <w:bCs/>
          <w:b/>
        </w:rPr>
        <w:t xml:space="preserve">Money (Lot 2)</w:t>
      </w:r>
      <w:r>
        <w:t xml:space="preserve"> </w:t>
      </w:r>
      <w:r>
        <w:t xml:space="preserve">: aucune écriture ledger mutable ; solde matérialisé toujours égal à la somme dérivée des écritures ; aucun solde négatif non voulu sous concurrence ; rejeu d’une opération identique sans double effet.</w:t>
      </w:r>
    </w:p>
    <w:p>
      <w:r>
        <w:pict>
          <v:rect style="width:0;height:1.5pt" o:hralign="center" o:hrstd="t" o:hr="t"/>
        </w:pict>
      </w:r>
    </w:p>
    <w:bookmarkEnd w:id="47"/>
    <w:bookmarkStart w:id="52" w:name="stratégie-de-migration-du-produit-pilote"/>
    <w:p>
      <w:pPr>
        <w:pStyle w:val="Heading1"/>
      </w:pPr>
      <w:r>
        <w:t xml:space="preserve">10. Stratégie de migration du produit pilote</w:t>
      </w:r>
    </w:p>
    <w:bookmarkStart w:id="48" w:name="choix-du-pilote"/>
    <w:p>
      <w:pPr>
        <w:pStyle w:val="Heading2"/>
      </w:pPr>
      <w:r>
        <w:t xml:space="preserve">10.1 Choix du pilote</w:t>
      </w:r>
    </w:p>
    <w:p>
      <w:pPr>
        <w:pStyle w:val="FirstParagraph"/>
      </w:pPr>
      <w:r>
        <w:t xml:space="preserve">Un produit</w:t>
      </w:r>
      <w:r>
        <w:t xml:space="preserve"> </w:t>
      </w:r>
      <w:r>
        <w:rPr>
          <w:bCs/>
          <w:b/>
        </w:rPr>
        <w:t xml:space="preserve">transactionnel</w:t>
      </w:r>
      <w:r>
        <w:t xml:space="preserve"> </w:t>
      </w:r>
      <w:r>
        <w:t xml:space="preserve">disposant de paiements, frais/commissions, notifications et administration — assez riche pour démontrer le ROI, sans exposer d’emblée les opérations les plus critiques.</w:t>
      </w:r>
    </w:p>
    <w:bookmarkEnd w:id="48"/>
    <w:bookmarkStart w:id="49" w:name="shadow-mode"/>
    <w:p>
      <w:pPr>
        <w:pStyle w:val="Heading2"/>
      </w:pPr>
      <w:r>
        <w:t xml:space="preserve">10.2 Shadow mode</w:t>
      </w:r>
    </w:p>
    <w:p>
      <w:pPr>
        <w:numPr>
          <w:ilvl w:val="0"/>
          <w:numId w:val="1003"/>
        </w:numPr>
        <w:pStyle w:val="Compact"/>
      </w:pPr>
      <w:r>
        <w:t xml:space="preserve">Le produit continue d’utiliser son implémentation actuelle (source de vérité).</w:t>
      </w:r>
    </w:p>
    <w:p>
      <w:pPr>
        <w:numPr>
          <w:ilvl w:val="0"/>
          <w:numId w:val="1003"/>
        </w:numPr>
        <w:pStyle w:val="Compact"/>
      </w:pPr>
      <w:r>
        <w:t xml:space="preserve">En parallèle, chaque opération est</w:t>
      </w:r>
      <w:r>
        <w:t xml:space="preserve"> </w:t>
      </w:r>
      <w:r>
        <w:rPr>
          <w:bCs/>
          <w:b/>
        </w:rPr>
        <w:t xml:space="preserve">aussi</w:t>
      </w:r>
      <w:r>
        <w:t xml:space="preserve"> </w:t>
      </w:r>
      <w:r>
        <w:t xml:space="preserve">envoyée au Core,</w:t>
      </w:r>
      <w:r>
        <w:t xml:space="preserve"> </w:t>
      </w:r>
      <w:r>
        <w:rPr>
          <w:bCs/>
          <w:b/>
        </w:rPr>
        <w:t xml:space="preserve">sans effet réel</w:t>
      </w:r>
      <w:r>
        <w:t xml:space="preserve"> </w:t>
      </w:r>
      <w:r>
        <w:t xml:space="preserve">côté Core (mode observation).</w:t>
      </w:r>
    </w:p>
    <w:p>
      <w:pPr>
        <w:numPr>
          <w:ilvl w:val="0"/>
          <w:numId w:val="1003"/>
        </w:numPr>
        <w:pStyle w:val="Compact"/>
      </w:pPr>
      <w:r>
        <w:t xml:space="preserve">Un job de réconciliation compare en continu les résultats des deux systèmes et signale les écarts.</w:t>
      </w:r>
    </w:p>
    <w:p>
      <w:pPr>
        <w:numPr>
          <w:ilvl w:val="0"/>
          <w:numId w:val="1003"/>
        </w:numPr>
        <w:pStyle w:val="Compact"/>
      </w:pPr>
      <w:r>
        <w:t xml:space="preserve">Quand l’écart est nul sur une période représentative, on bascule.</w:t>
      </w:r>
    </w:p>
    <w:bookmarkEnd w:id="49"/>
    <w:bookmarkStart w:id="50" w:name="bascule-progressive-canary"/>
    <w:p>
      <w:pPr>
        <w:pStyle w:val="Heading2"/>
      </w:pPr>
      <w:r>
        <w:t xml:space="preserve">10.3 Bascule progressive (canary)</w:t>
      </w:r>
    </w:p>
    <w:p>
      <w:pPr>
        <w:pStyle w:val="FirstParagraph"/>
      </w:pPr>
      <w:r>
        <w:t xml:space="preserve">Bascule d’un pourcentage croissant du trafic vers le Core (par exemple 5 % → 25 % → 100 %), avec possibilité de retour arrière immédiat. L’ancienne implémentation reste disponible jusqu’à confirmation, puis est dépréciée.</w:t>
      </w:r>
    </w:p>
    <w:bookmarkEnd w:id="50"/>
    <w:bookmarkStart w:id="51" w:name="règle-dor"/>
    <w:p>
      <w:pPr>
        <w:pStyle w:val="Heading2"/>
      </w:pPr>
      <w:r>
        <w:t xml:space="preserve">10.4 Règle d’or</w:t>
      </w:r>
    </w:p>
    <w:p>
      <w:pPr>
        <w:pStyle w:val="FirstParagraph"/>
      </w:pPr>
      <w:r>
        <w:rPr>
          <w:bCs/>
          <w:b/>
        </w:rPr>
        <w:t xml:space="preserve">Aucune bascule d’un flux d’argent réel sans réconciliation à zéro écart préalable.</w:t>
      </w:r>
      <w:r>
        <w:t xml:space="preserve"> </w:t>
      </w:r>
      <w:r>
        <w:t xml:space="preserve">C’est ce qui évite un incident financier au premier client migré.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isques-delivery-et-mitigations"/>
    <w:p>
      <w:pPr>
        <w:pStyle w:val="Heading1"/>
      </w:pPr>
      <w:r>
        <w:t xml:space="preserve">11. Risques delivery et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Modèle ledger sous-estimé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Retard sur le chemin 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le modèle Lot 2 avant tout code ; revue de risque à M2.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 provider instable ou tardive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Blocage Lot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Simulateurs internes reproduisant statuts/callbacks ; ne pas dépendre du provider réel pour avancer.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Contention wallet en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Incidents financiers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Verrou pessimiste ciblé, tests de concurrence, bascule optimiste si mesuré.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(produits qui poussent du métier dans le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Dérive fourre-tout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d’architecture, critères d’entrée, périmètre MVP figé.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 plateforme goulot d’étranglement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d’adhésion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interne, documentation, contrats stables.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réglementaire wallets tiers non tranchée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Blocage juridique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Trancher le statut (agrégateur vs e-money) avant d’ouvrir les wallets à des tiers.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pilote risquée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en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mode + réconciliation zéro écart + canary réversible.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suivi-de-lavancement"/>
    <w:p>
      <w:pPr>
        <w:pStyle w:val="Heading1"/>
      </w:pPr>
      <w:r>
        <w:t xml:space="preserve">12. Suivi de l’avancement</w:t>
      </w:r>
    </w:p>
    <w:p>
      <w:pPr>
        <w:pStyle w:val="FirstParagraph"/>
      </w:pPr>
      <w:r>
        <w:t xml:space="preserve">Indicateurs suivis à chaque fin de sprint :</w:t>
      </w:r>
    </w:p>
    <w:p>
      <w:pPr>
        <w:numPr>
          <w:ilvl w:val="0"/>
          <w:numId w:val="1004"/>
        </w:numPr>
        <w:pStyle w:val="Compact"/>
      </w:pPr>
      <w:r>
        <w:t xml:space="preserve">Lots terminés vs planifiés (respect du chemin critique).</w:t>
      </w:r>
    </w:p>
    <w:p>
      <w:pPr>
        <w:numPr>
          <w:ilvl w:val="0"/>
          <w:numId w:val="1004"/>
        </w:numPr>
        <w:pStyle w:val="Compact"/>
      </w:pPr>
      <w:r>
        <w:t xml:space="preserve">Couverture des tests de contrat par capacité.</w:t>
      </w:r>
    </w:p>
    <w:p>
      <w:pPr>
        <w:numPr>
          <w:ilvl w:val="0"/>
          <w:numId w:val="1004"/>
        </w:numPr>
        <w:pStyle w:val="Compact"/>
      </w:pPr>
      <w:r>
        <w:t xml:space="preserve">Taux de succès paiement en sandbox par provider.</w:t>
      </w:r>
    </w:p>
    <w:p>
      <w:pPr>
        <w:numPr>
          <w:ilvl w:val="0"/>
          <w:numId w:val="1004"/>
        </w:numPr>
        <w:pStyle w:val="Compact"/>
      </w:pPr>
      <w:r>
        <w:t xml:space="preserve">Écarts de réconciliation en shadow mode (tendance vers zéro).</w:t>
      </w:r>
    </w:p>
    <w:p>
      <w:pPr>
        <w:numPr>
          <w:ilvl w:val="0"/>
          <w:numId w:val="1004"/>
        </w:numPr>
        <w:pStyle w:val="Compact"/>
      </w:pPr>
      <w:r>
        <w:t xml:space="preserve">Backlog DLQ et taux d’échec webhooks.</w:t>
      </w:r>
    </w:p>
    <w:p>
      <w:pPr>
        <w:numPr>
          <w:ilvl w:val="0"/>
          <w:numId w:val="1004"/>
        </w:numPr>
        <w:pStyle w:val="Compact"/>
      </w:pPr>
      <w:r>
        <w:t xml:space="preserve">Dette de frontières (violations Deptrac) — doit rester à zéro.</w:t>
      </w:r>
    </w:p>
    <w:p>
      <w:r>
        <w:pict>
          <v:rect style="width:0;height:1.5pt" o:hralign="center" o:hrstd="t" o:hr="t"/>
        </w:pict>
      </w:r>
    </w:p>
    <w:bookmarkEnd w:id="54"/>
    <w:bookmarkStart w:id="55" w:name="checklist-go-live-produit-pilote"/>
    <w:p>
      <w:pPr>
        <w:pStyle w:val="Heading1"/>
      </w:pPr>
      <w:r>
        <w:t xml:space="preserve">13. Checklist Go-live (produit pilote)</w:t>
      </w:r>
    </w:p>
    <w:p>
      <w:pPr>
        <w:numPr>
          <w:ilvl w:val="0"/>
          <w:numId w:val="1005"/>
        </w:numPr>
        <w:pStyle w:val="Compact"/>
      </w:pPr>
      <w:r>
        <w:t xml:space="preserve">☐ Credentials live provisionnés et testés (MTN, Orange, WhatsApp).</w:t>
      </w:r>
    </w:p>
    <w:p>
      <w:pPr>
        <w:numPr>
          <w:ilvl w:val="0"/>
          <w:numId w:val="1005"/>
        </w:numPr>
        <w:pStyle w:val="Compact"/>
      </w:pPr>
      <w:r>
        <w:t xml:space="preserve">☐ Webhooks du produit configurés et signature vérifiée.</w:t>
      </w:r>
    </w:p>
    <w:p>
      <w:pPr>
        <w:numPr>
          <w:ilvl w:val="0"/>
          <w:numId w:val="1005"/>
        </w:numPr>
        <w:pStyle w:val="Compact"/>
      </w:pPr>
      <w:r>
        <w:t xml:space="preserve">☐ Règles de frais live validées et simulées.</w:t>
      </w:r>
    </w:p>
    <w:p>
      <w:pPr>
        <w:numPr>
          <w:ilvl w:val="0"/>
          <w:numId w:val="1005"/>
        </w:numPr>
        <w:pStyle w:val="Compact"/>
      </w:pPr>
      <w:r>
        <w:t xml:space="preserve">☐ Réconciliation shadow mode à zéro écart sur période représentative.</w:t>
      </w:r>
    </w:p>
    <w:p>
      <w:pPr>
        <w:numPr>
          <w:ilvl w:val="0"/>
          <w:numId w:val="1005"/>
        </w:numPr>
        <w:pStyle w:val="Compact"/>
      </w:pPr>
      <w:r>
        <w:t xml:space="preserve">☐ Audit et observabilité opérationnels (alertes actives).</w:t>
      </w:r>
    </w:p>
    <w:p>
      <w:pPr>
        <w:numPr>
          <w:ilvl w:val="0"/>
          <w:numId w:val="1005"/>
        </w:numPr>
        <w:pStyle w:val="Compact"/>
      </w:pPr>
      <w:r>
        <w:t xml:space="preserve">☐ DLQ et procédure de replay testées.</w:t>
      </w:r>
    </w:p>
    <w:p>
      <w:pPr>
        <w:numPr>
          <w:ilvl w:val="0"/>
          <w:numId w:val="1005"/>
        </w:numPr>
        <w:pStyle w:val="Compact"/>
      </w:pPr>
      <w:r>
        <w:t xml:space="preserve">☐ Plan de retour arrière (canary) documenté et éprouvé.</w:t>
      </w:r>
    </w:p>
    <w:p>
      <w:pPr>
        <w:numPr>
          <w:ilvl w:val="0"/>
          <w:numId w:val="1005"/>
        </w:numPr>
        <w:pStyle w:val="Compact"/>
      </w:pPr>
      <w:r>
        <w:t xml:space="preserve">☐ Astreinte et procédure d’incident financier définies.</w:t>
      </w:r>
    </w:p>
    <w:p>
      <w:pPr>
        <w:numPr>
          <w:ilvl w:val="0"/>
          <w:numId w:val="1005"/>
        </w:numPr>
        <w:pStyle w:val="Compact"/>
      </w:pPr>
      <w:r>
        <w:t xml:space="preserve">☐ Décision réglementaire tranchée si des wallets tiers sont exposés.</w:t>
      </w:r>
    </w:p>
    <w:p>
      <w:r>
        <w:pict>
          <v:rect style="width:0;height:1.5pt" o:hralign="center" o:hrstd="t" o:hr="t"/>
        </w:pict>
      </w:r>
    </w:p>
    <w:bookmarkEnd w:id="55"/>
    <w:bookmarkStart w:id="56" w:name="suite-après-mvp"/>
    <w:p>
      <w:pPr>
        <w:pStyle w:val="Heading1"/>
      </w:pPr>
      <w:r>
        <w:t xml:space="preserve">14. Suite après MVP</w:t>
      </w:r>
    </w:p>
    <w:p>
      <w:pPr>
        <w:pStyle w:val="FirstParagraph"/>
      </w:pPr>
      <w:r>
        <w:t xml:space="preserve">Une fois le pilote stabilisé : Billing/Subscriptions complet, Developer Platform externe (portail, SDK, quotas), Storage/Media avancé, providers additionnels (carte), puis extraction en services des modules dont la charge ou le domaine le justifient (introduction de RabbitMQ à ce moment-là seulement). Chaque nouveau produit branché est un incrément, plus une reconstruction.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Fin du Plan de Delivery du MVP — Version 1.0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Core System — Plan de Delivery du MVP</dc:title>
  <dc:creator>Architecture / Conseil logiciel</dc:creator>
  <cp:keywords/>
  <dcterms:created xsi:type="dcterms:W3CDTF">2026-09-14T13:41:52Z</dcterms:created>
  <dcterms:modified xsi:type="dcterms:W3CDTF">2026-09-14T13:41:52Z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— Septembre 2026</vt:lpwstr>
  </property>
</Properties>
</file>