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</w:t>
      </w:r>
      <w:r>
        <w:t xml:space="preserve"> </w:t>
      </w:r>
      <w:r>
        <w:t xml:space="preserve">Core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Spécification</w:t>
      </w:r>
      <w:r>
        <w:t xml:space="preserve"> </w:t>
      </w:r>
      <w:r>
        <w:t xml:space="preserve">Fonctionnelle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/</w:t>
      </w:r>
      <w:r>
        <w:t xml:space="preserve"> </w:t>
      </w:r>
      <w:r>
        <w:t xml:space="preserve">Conseil</w:t>
      </w:r>
      <w:r>
        <w:t xml:space="preserve"> </w:t>
      </w:r>
      <w:r>
        <w:t xml:space="preserve">logiciel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1"/>
      </w:pPr>
      <w:r>
        <w:t xml:space="preserve">1. Introduction</w:t>
      </w:r>
    </w:p>
    <w:bookmarkStart w:id="20" w:name="objet-du-document"/>
    <w:p>
      <w:pPr>
        <w:pStyle w:val="Heading2"/>
      </w:pPr>
      <w:r>
        <w:t xml:space="preserve">1.1 Objet du document</w:t>
      </w:r>
    </w:p>
    <w:p>
      <w:pPr>
        <w:pStyle w:val="FirstParagraph"/>
      </w:pPr>
      <w:r>
        <w:t xml:space="preserve">Ce document décrit</w:t>
      </w:r>
      <w:r>
        <w:t xml:space="preserve"> </w:t>
      </w:r>
      <w:r>
        <w:rPr>
          <w:bCs/>
          <w:b/>
        </w:rPr>
        <w:t xml:space="preserve">ce que fait</w:t>
      </w:r>
      <w:r>
        <w:t xml:space="preserve"> </w:t>
      </w:r>
      <w:r>
        <w:t xml:space="preserve">l’Enterprise Core System (ci-après « le Core ») du point de vue métier et fonctionnel : les capacités offertes, les acteurs, les parcours, les règles de gestion et les critères d’acceptation. Il ne décrit pas</w:t>
      </w:r>
      <w:r>
        <w:t xml:space="preserve"> </w:t>
      </w:r>
      <w:r>
        <w:rPr>
          <w:iCs/>
          <w:i/>
        </w:rPr>
        <w:t xml:space="preserve">comment</w:t>
      </w:r>
      <w:r>
        <w:t xml:space="preserve"> </w:t>
      </w:r>
      <w:r>
        <w:t xml:space="preserve">c’est implémenté ; cela relève de la Spécification Technique, document séparé.</w:t>
      </w:r>
    </w:p>
    <w:bookmarkEnd w:id="20"/>
    <w:bookmarkStart w:id="21" w:name="positionnement"/>
    <w:p>
      <w:pPr>
        <w:pStyle w:val="Heading2"/>
      </w:pPr>
      <w:r>
        <w:t xml:space="preserve">1.2 Positionnement</w:t>
      </w:r>
    </w:p>
    <w:p>
      <w:pPr>
        <w:pStyle w:val="FirstParagraph"/>
      </w:pPr>
      <w:r>
        <w:t xml:space="preserve">Le Core est un</w:t>
      </w:r>
      <w:r>
        <w:t xml:space="preserve"> </w:t>
      </w:r>
      <w:r>
        <w:rPr>
          <w:bCs/>
          <w:b/>
        </w:rPr>
        <w:t xml:space="preserve">socle de capacités transversales</w:t>
      </w:r>
      <w:r>
        <w:t xml:space="preserve"> </w:t>
      </w:r>
      <w:r>
        <w:t xml:space="preserve">consommé par des applications :</w:t>
      </w:r>
    </w:p>
    <w:p>
      <w:pPr>
        <w:numPr>
          <w:ilvl w:val="0"/>
          <w:numId w:val="1001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produits internes</w:t>
      </w:r>
      <w:r>
        <w:t xml:space="preserve"> </w:t>
      </w:r>
      <w:r>
        <w:t xml:space="preserve">de l’entreprise (SaaS, ERP, plateformes grand public, sites, plateformes transactionnelles) ;</w:t>
      </w:r>
    </w:p>
    <w:p>
      <w:pPr>
        <w:numPr>
          <w:ilvl w:val="0"/>
          <w:numId w:val="1001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applications de clients externes</w:t>
      </w:r>
      <w:r>
        <w:t xml:space="preserve"> </w:t>
      </w:r>
      <w:r>
        <w:t xml:space="preserve">qui consomment certaines capacités via API publique.</w:t>
      </w:r>
    </w:p>
    <w:p>
      <w:pPr>
        <w:pStyle w:val="FirstParagraph"/>
      </w:pPr>
      <w:r>
        <w:t xml:space="preserve">Le principe fondateur :</w:t>
      </w:r>
      <w:r>
        <w:t xml:space="preserve"> </w:t>
      </w:r>
      <w:r>
        <w:rPr>
          <w:bCs/>
          <w:b/>
        </w:rPr>
        <w:t xml:space="preserve">une capacité est construite une fois, sécurisée, observée, documentée, puis consommée par plusieurs produits</w:t>
      </w:r>
      <w:r>
        <w:t xml:space="preserve">. Le Core ne contient jamais le métier spécifique d’un produit.</w:t>
      </w:r>
    </w:p>
    <w:p>
      <w:pPr>
        <w:pStyle w:val="BodyText"/>
      </w:pPr>
      <w:r>
        <w:t xml:space="preserve">Le Core agit comme un</w:t>
      </w:r>
      <w:r>
        <w:t xml:space="preserve"> </w:t>
      </w:r>
      <w:r>
        <w:rPr>
          <w:bCs/>
          <w:b/>
        </w:rPr>
        <w:t xml:space="preserve">hub d’orchestration et d’adaptation</w:t>
      </w:r>
      <w:r>
        <w:t xml:space="preserve">. Lorsqu’une application a besoin d’un paiement, d’une notification ou d’un versement, elle appelle</w:t>
      </w:r>
      <w:r>
        <w:t xml:space="preserve"> </w:t>
      </w:r>
      <w:r>
        <w:rPr>
          <w:bCs/>
          <w:b/>
        </w:rPr>
        <w:t xml:space="preserve">une API stable du Core</w:t>
      </w:r>
      <w:r>
        <w:t xml:space="preserve">. C’est le Core — et non l’application — qui connaît, appelle et normalise les providers externes (MTN MoMo, Orange Money, fournisseurs SMS/email, etc.). Changer ou ajouter un provider se fait dans le Core, sans modifier ni redéployer les applications consommatrices.</w:t>
      </w:r>
    </w:p>
    <w:bookmarkEnd w:id="21"/>
    <w:bookmarkStart w:id="22" w:name="ce-que-le-core-nest-pas"/>
    <w:p>
      <w:pPr>
        <w:pStyle w:val="Heading2"/>
      </w:pPr>
      <w:r>
        <w:t xml:space="preserve">1.3 Ce que le Core n’est pas</w:t>
      </w:r>
    </w:p>
    <w:p>
      <w:pPr>
        <w:numPr>
          <w:ilvl w:val="0"/>
          <w:numId w:val="1002"/>
        </w:numPr>
        <w:pStyle w:val="Compact"/>
      </w:pPr>
      <w:r>
        <w:t xml:space="preserve">Ce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monolithe métier qui absorbe les règles de tous les produits.</w:t>
      </w:r>
    </w:p>
    <w:p>
      <w:pPr>
        <w:numPr>
          <w:ilvl w:val="0"/>
          <w:numId w:val="1002"/>
        </w:numPr>
        <w:pStyle w:val="Compact"/>
      </w:pPr>
      <w:r>
        <w:t xml:space="preserve">Ce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annuaire central de tous les utilisateurs finaux de toutes les applications.</w:t>
      </w:r>
    </w:p>
    <w:p>
      <w:pPr>
        <w:numPr>
          <w:ilvl w:val="0"/>
          <w:numId w:val="1002"/>
        </w:numPr>
        <w:pStyle w:val="Compact"/>
      </w:pPr>
      <w:r>
        <w:t xml:space="preserve">Ce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une base de données partagée dans laquelle les produits vont lire directement.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lossaire-et-concepts-clés"/>
    <w:p>
      <w:pPr>
        <w:pStyle w:val="Heading1"/>
      </w:pPr>
      <w:r>
        <w:t xml:space="preserve">2. Glossaire et concepts clés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Entité propriétaire dans le Core : une entreprise cliente, une entité interne, un partenaire. Contient des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application, plateforme ou intégration concrète qui consomme le Core. Porte les credentials et la configuration. Unité d’isolation principale.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capacité fonctionnelle activable pour un Project (Paiement, Notification, Wallet, Billing, Storage…).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Party (Account 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légère vers un acteur économique (client, marchand, agent, partenaire, end-user…) manipulé par le Core. Identifié par un</w:t>
            </w:r>
            <w:r>
              <w:t xml:space="preserve"> </w:t>
            </w:r>
            <w:r>
              <w:rPr>
                <w:rStyle w:val="VerbatimChar"/>
              </w:rPr>
              <w:t xml:space="preserve">external_ref</w:t>
            </w:r>
            <w:r>
              <w:t xml:space="preserve"> </w:t>
            </w:r>
            <w:r>
              <w:t xml:space="preserve">fourni par le produit.</w:t>
            </w:r>
            <w:r>
              <w:t xml:space="preserve"> </w:t>
            </w:r>
            <w:r>
              <w:rPr>
                <w:bCs/>
                <w:b/>
              </w:rPr>
              <w:t xml:space="preserve">Ne contient pas de données personnelles.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final d’une application.</w:t>
            </w:r>
            <w:r>
              <w:t xml:space="preserve"> </w:t>
            </w:r>
            <w:r>
              <w:rPr>
                <w:bCs/>
                <w:b/>
              </w:rPr>
              <w:t xml:space="preserve">Reste dans le produit.</w:t>
            </w:r>
            <w:r>
              <w:t xml:space="preserve"> </w:t>
            </w:r>
            <w:r>
              <w:t xml:space="preserve">N’est jamais authentifié par le Core et n’y est stocké que sous forme de Party léger, et seulement si nécessaire.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 externe intégré par le Core : opérateur mobile money, fournisseur SMS/email, acquéreur carte,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 du Core qui traduit une capacité générique vers l’API concrète d’un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valeur rattaché à un Party, adossé au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livre à écritures immuables ; source de vérité financière.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 de paiement créée par un produit, orchestrée par le Core vers un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 /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Frais ou commission calculés par un moteur de règles configurables.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signée envoyée par le Core à une application pour l’informer d’un événement.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 /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Environnements isolés : sandbox pour tester sans argent réel, live pour la production.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acteurs-et-personas"/>
    <w:p>
      <w:pPr>
        <w:pStyle w:val="Heading1"/>
      </w:pPr>
      <w:r>
        <w:t xml:space="preserve">3. Acteurs et personas</w:t>
      </w:r>
    </w:p>
    <w:bookmarkStart w:id="25" w:name="opérateur-plateforme-interne"/>
    <w:p>
      <w:pPr>
        <w:pStyle w:val="Heading2"/>
      </w:pPr>
      <w:r>
        <w:t xml:space="preserve">3.1 Opérateur plateforme (interne)</w:t>
      </w:r>
    </w:p>
    <w:p>
      <w:pPr>
        <w:pStyle w:val="FirstParagraph"/>
      </w:pPr>
      <w:r>
        <w:t xml:space="preserve">Employé de l’entreprise qui administre le Core via le</w:t>
      </w:r>
      <w:r>
        <w:t xml:space="preserve"> </w:t>
      </w:r>
      <w:r>
        <w:rPr>
          <w:bCs/>
          <w:b/>
        </w:rPr>
        <w:t xml:space="preserve">Core Admin</w:t>
      </w:r>
      <w:r>
        <w:t xml:space="preserve">. Gère les organisations, projets, providers, règles de frais, réconciliation, supervision. Identité complète dans le Core, authentification forte (MFA), permissions fines et actions auditées.</w:t>
      </w:r>
    </w:p>
    <w:bookmarkEnd w:id="25"/>
    <w:bookmarkStart w:id="26" w:name="développeur-équipe-produit-interne"/>
    <w:p>
      <w:pPr>
        <w:pStyle w:val="Heading2"/>
      </w:pPr>
      <w:r>
        <w:t xml:space="preserve">3.2 Développeur / équipe produit interne</w:t>
      </w:r>
    </w:p>
    <w:p>
      <w:pPr>
        <w:pStyle w:val="FirstParagraph"/>
      </w:pPr>
      <w:r>
        <w:t xml:space="preserve">Consomme le Core pour bâtir un produit interne. Interagit via API, SDK, dashboard développeur et documentation. Ne réimplémente pas les capacités transversales.</w:t>
      </w:r>
    </w:p>
    <w:bookmarkEnd w:id="26"/>
    <w:bookmarkStart w:id="27" w:name="client-externe-organisation-cliente"/>
    <w:p>
      <w:pPr>
        <w:pStyle w:val="Heading2"/>
      </w:pPr>
      <w:r>
        <w:t xml:space="preserve">3.3 Client externe (organisation cliente)</w:t>
      </w:r>
    </w:p>
    <w:p>
      <w:pPr>
        <w:pStyle w:val="FirstParagraph"/>
      </w:pPr>
      <w:r>
        <w:t xml:space="preserve">Entreprise tierce disposant de sa propre Organization et de ses Projects. Consomme des capacités (typiquement Paiement) via API publique, credentials sandbox/live et webhooks. N’accède jamais aux données internes non nécessaires.</w:t>
      </w:r>
    </w:p>
    <w:bookmarkEnd w:id="27"/>
    <w:bookmarkStart w:id="28" w:name="end-user-utilisateur-final-dun-produit"/>
    <w:p>
      <w:pPr>
        <w:pStyle w:val="Heading2"/>
      </w:pPr>
      <w:r>
        <w:t xml:space="preserve">3.4 End-user (utilisateur final d’un produit)</w:t>
      </w:r>
    </w:p>
    <w:p>
      <w:pPr>
        <w:pStyle w:val="FirstParagraph"/>
      </w:pPr>
      <w:r>
        <w:t xml:space="preserve">Client d’une boutique e-commerce, voyageur sur une plateforme de tourisme, propriétaire utilisant un ERP, etc.</w:t>
      </w:r>
      <w:r>
        <w:t xml:space="preserve"> </w:t>
      </w:r>
      <w:r>
        <w:rPr>
          <w:bCs/>
          <w:b/>
        </w:rPr>
        <w:t xml:space="preserve">Il interagit uniquement avec le produit</w:t>
      </w:r>
      <w:r>
        <w:t xml:space="preserve">, jamais directement avec le Core. Le Core ne le connaît que via un Party, créé à la demande.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odèle-didentité-fonctionnel"/>
    <w:p>
      <w:pPr>
        <w:pStyle w:val="Heading1"/>
      </w:pPr>
      <w:r>
        <w:t xml:space="preserve">4. Modèle d’identité fonctionnel</w:t>
      </w:r>
    </w:p>
    <w:p>
      <w:pPr>
        <w:pStyle w:val="FirstParagraph"/>
      </w:pPr>
      <w:r>
        <w:t xml:space="preserve">C’est la décision structurante du système. Trois plans d’identité strictement séparés.</w:t>
      </w:r>
    </w:p>
    <w:bookmarkStart w:id="30" w:name="plan-1-identité-plateforme-opérateurs"/>
    <w:p>
      <w:pPr>
        <w:pStyle w:val="Heading2"/>
      </w:pPr>
      <w:r>
        <w:t xml:space="preserve">4.1 Plan 1 — Identité plateforme (opérateurs)</w:t>
      </w:r>
    </w:p>
    <w:p>
      <w:pPr>
        <w:pStyle w:val="FirstParagraph"/>
      </w:pPr>
      <w:r>
        <w:t xml:space="preserve">Les opérateurs internes ont une identité complète dans le Core (Core Admin). Volume faible. Authentification forte, rôles et permissions détaillés.</w:t>
      </w:r>
    </w:p>
    <w:bookmarkEnd w:id="30"/>
    <w:bookmarkStart w:id="31" w:name="Xae7a75fd0804c4bc7157e60179999b77a02df5d"/>
    <w:p>
      <w:pPr>
        <w:pStyle w:val="Heading2"/>
      </w:pPr>
      <w:r>
        <w:t xml:space="preserve">4.2 Plan 2 — Identité machine (applications consommatrices)</w:t>
      </w:r>
    </w:p>
    <w:p>
      <w:pPr>
        <w:pStyle w:val="FirstParagraph"/>
      </w:pPr>
      <w:r>
        <w:t xml:space="preserve">Chaque produit ou client = une Organization → un ou plusieurs Projects.</w:t>
      </w:r>
      <w:r>
        <w:t xml:space="preserve"> </w:t>
      </w:r>
      <w:r>
        <w:rPr>
          <w:bCs/>
          <w:b/>
        </w:rPr>
        <w:t xml:space="preserve">C’est le Project qui s’authentifie au Core</w:t>
      </w:r>
      <w:r>
        <w:t xml:space="preserve">, via :</w:t>
      </w:r>
    </w:p>
    <w:p>
      <w:pPr>
        <w:numPr>
          <w:ilvl w:val="0"/>
          <w:numId w:val="1003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API keys</w:t>
      </w:r>
      <w:r>
        <w:t xml:space="preserve"> </w:t>
      </w:r>
      <w:r>
        <w:t xml:space="preserve">(serveur-à-serveur) ;</w:t>
      </w:r>
    </w:p>
    <w:p>
      <w:pPr>
        <w:numPr>
          <w:ilvl w:val="0"/>
          <w:numId w:val="1003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clients OAuth2</w:t>
      </w:r>
      <w:r>
        <w:t xml:space="preserve"> </w:t>
      </w:r>
      <w:r>
        <w:t xml:space="preserve">avec scopes (accès plus fin, clients externes) ;</w:t>
      </w:r>
    </w:p>
    <w:p>
      <w:pPr>
        <w:numPr>
          <w:ilvl w:val="0"/>
          <w:numId w:val="1003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paires de credentials sandbox et live</w:t>
      </w:r>
      <w:r>
        <w:t xml:space="preserve"> </w:t>
      </w:r>
      <w:r>
        <w:t xml:space="preserve">distinctes.</w:t>
      </w:r>
    </w:p>
    <w:p>
      <w:pPr>
        <w:pStyle w:val="FirstParagraph"/>
      </w:pPr>
      <w:r>
        <w:t xml:space="preserve">Volume borné (dizaines à centaines), pas des millions.</w:t>
      </w:r>
    </w:p>
    <w:bookmarkEnd w:id="31"/>
    <w:bookmarkStart w:id="32" w:name="X3406542bf52f763b134c7fe7d00e2cbeedea3e0"/>
    <w:p>
      <w:pPr>
        <w:pStyle w:val="Heading2"/>
      </w:pPr>
      <w:r>
        <w:t xml:space="preserve">4.3 Plan 3 — Parties (références d’acteurs, créées à la demande)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Party</w:t>
      </w:r>
      <w:r>
        <w:t xml:space="preserve"> </w:t>
      </w:r>
      <w:r>
        <w:t xml:space="preserve">représente un acteur économique manipulé par le Core (celui qui possède un wallet, reçoit une commission, est bénéficiaire d’un versement). Un Party contient :</w:t>
      </w:r>
    </w:p>
    <w:p>
      <w:pPr>
        <w:numPr>
          <w:ilvl w:val="0"/>
          <w:numId w:val="1004"/>
        </w:numPr>
        <w:pStyle w:val="Compact"/>
      </w:pPr>
      <w:r>
        <w:t xml:space="preserve">le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auquel il appartient ;</w:t>
      </w:r>
    </w:p>
    <w:p>
      <w:pPr>
        <w:numPr>
          <w:ilvl w:val="0"/>
          <w:numId w:val="1004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l’identifiant de l’utilisateur dans le produit</w:t>
      </w:r>
      <w:r>
        <w:t xml:space="preserve"> 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(customer, end_user, merchant, agent, partner, platform, provider, beneficiary…) ;</w:t>
      </w:r>
    </w:p>
    <w:p>
      <w:pPr>
        <w:numPr>
          <w:ilvl w:val="0"/>
          <w:numId w:val="1004"/>
        </w:numPr>
        <w:pStyle w:val="Compact"/>
      </w:pPr>
      <w:r>
        <w:t xml:space="preserve">un statut KYC optionnel ;</w:t>
      </w:r>
    </w:p>
    <w:p>
      <w:pPr>
        <w:numPr>
          <w:ilvl w:val="0"/>
          <w:numId w:val="1004"/>
        </w:numPr>
        <w:pStyle w:val="Compact"/>
      </w:pPr>
      <w:r>
        <w:t xml:space="preserve">des métadonnées minimales strictement nécessaires.</w:t>
      </w:r>
    </w:p>
    <w:p>
      <w:pPr>
        <w:pStyle w:val="FirstParagraph"/>
      </w:pPr>
      <w:r>
        <w:rPr>
          <w:bCs/>
          <w:b/>
        </w:rPr>
        <w:t xml:space="preserve">Règles fondamentales :</w:t>
      </w:r>
    </w:p>
    <w:p>
      <w:pPr>
        <w:numPr>
          <w:ilvl w:val="0"/>
          <w:numId w:val="1005"/>
        </w:numPr>
        <w:pStyle w:val="Compact"/>
      </w:pPr>
      <w:r>
        <w:t xml:space="preserve">Le end-user</w:t>
      </w:r>
      <w:r>
        <w:t xml:space="preserve"> </w:t>
      </w:r>
      <w:r>
        <w:rPr>
          <w:bCs/>
          <w:b/>
        </w:rPr>
        <w:t xml:space="preserve">ne s’authentifie jamais</w:t>
      </w:r>
      <w:r>
        <w:t xml:space="preserve"> </w:t>
      </w:r>
      <w:r>
        <w:t xml:space="preserve">contre le Core. Le produit authentifie son propre utilisateur, puis appelle le Core avec</w:t>
      </w:r>
      <w:r>
        <w:t xml:space="preserve"> </w:t>
      </w:r>
      <w:r>
        <w:rPr>
          <w:bCs/>
          <w:b/>
        </w:rPr>
        <w:t xml:space="preserve">ses credentials machine</w:t>
      </w:r>
      <w:r>
        <w:t xml:space="preserve">, en indiquant « j’agis pour le compte du Party</w:t>
      </w:r>
      <w:r>
        <w:t xml:space="preserve"> </w:t>
      </w:r>
      <w:r>
        <w:rPr>
          <w:rStyle w:val="VerbatimChar"/>
        </w:rPr>
        <w:t xml:space="preserve">external_ref = X</w:t>
      </w:r>
      <w:r>
        <w:t xml:space="preserve"> </w:t>
      </w:r>
      <w:r>
        <w:t xml:space="preserve">».</w:t>
      </w:r>
    </w:p>
    <w:p>
      <w:pPr>
        <w:numPr>
          <w:ilvl w:val="0"/>
          <w:numId w:val="1005"/>
        </w:numPr>
        <w:pStyle w:val="Compact"/>
      </w:pPr>
      <w:r>
        <w:t xml:space="preserve">Le Core</w:t>
      </w:r>
      <w:r>
        <w:t xml:space="preserve"> </w:t>
      </w:r>
      <w:r>
        <w:rPr>
          <w:bCs/>
          <w:b/>
        </w:rPr>
        <w:t xml:space="preserve">ne stocke aucune donnée personnelle</w:t>
      </w:r>
      <w:r>
        <w:t xml:space="preserve"> </w:t>
      </w:r>
      <w:r>
        <w:t xml:space="preserve">du end-user (ni nom, ni email, ni mot de passe).</w:t>
      </w:r>
    </w:p>
    <w:p>
      <w:pPr>
        <w:numPr>
          <w:ilvl w:val="0"/>
          <w:numId w:val="1005"/>
        </w:numPr>
        <w:pStyle w:val="Compact"/>
      </w:pPr>
      <w:r>
        <w:t xml:space="preserve">Un Party est créé</w:t>
      </w:r>
      <w:r>
        <w:t xml:space="preserve"> </w:t>
      </w:r>
      <w:r>
        <w:rPr>
          <w:bCs/>
          <w:b/>
        </w:rPr>
        <w:t xml:space="preserve">lazy</w:t>
      </w:r>
      <w:r>
        <w:t xml:space="preserve"> </w:t>
      </w:r>
      <w:r>
        <w:t xml:space="preserve">: seulement au premier moment où l’utilisateur a besoin d’un artefact Core (un wallet, être payé, être bénéficiaire d’une distribution).</w:t>
      </w:r>
    </w:p>
    <w:p>
      <w:pPr>
        <w:pStyle w:val="FirstParagraph"/>
      </w:pPr>
      <w:r>
        <w:rPr>
          <w:bCs/>
          <w:b/>
        </w:rPr>
        <w:t xml:space="preserve">Conséquence :</w:t>
      </w:r>
      <w:r>
        <w:t xml:space="preserve"> </w:t>
      </w:r>
      <w:r>
        <w:t xml:space="preserve">une plateforme de tourisme comptant 500 000 utilisateurs mais dont seulement 3 000 réalisent des opérations financières ne crée que</w:t>
      </w:r>
      <w:r>
        <w:t xml:space="preserve"> </w:t>
      </w:r>
      <w:r>
        <w:rPr>
          <w:bCs/>
          <w:b/>
        </w:rPr>
        <w:t xml:space="preserve">3 000 Parties</w:t>
      </w:r>
      <w:r>
        <w:t xml:space="preserve"> </w:t>
      </w:r>
      <w:r>
        <w:t xml:space="preserve">dans le Core, pas 500 000. La base reste légère, la surface de conformité (RGPD/données personnelles) réduite, et il n’y a aucun problème de synchronisation d’annuaire.</w:t>
      </w:r>
    </w:p>
    <w:bookmarkEnd w:id="32"/>
    <w:bookmarkStart w:id="33" w:name="option-idp-embarqué-par-projet"/>
    <w:p>
      <w:pPr>
        <w:pStyle w:val="Heading2"/>
      </w:pPr>
      <w:r>
        <w:t xml:space="preserve">4.4 Option — IdP embarqué par projet</w:t>
      </w:r>
    </w:p>
    <w:p>
      <w:pPr>
        <w:pStyle w:val="FirstParagraph"/>
      </w:pPr>
      <w:r>
        <w:t xml:space="preserve">Pour un produit qui</w:t>
      </w:r>
      <w:r>
        <w:t xml:space="preserve"> </w:t>
      </w:r>
      <w:r>
        <w:rPr>
          <w:iCs/>
          <w:i/>
        </w:rPr>
        <w:t xml:space="preserve">souhaite</w:t>
      </w:r>
      <w:r>
        <w:t xml:space="preserve"> </w:t>
      </w:r>
      <w:r>
        <w:t xml:space="preserve">déléguer l’authentification de ses utilisateurs au Core (par exemple un petit outil interne qui ne veut pas construire son auth), le Core peut exposer un</w:t>
      </w:r>
      <w:r>
        <w:t xml:space="preserve"> </w:t>
      </w:r>
      <w:r>
        <w:rPr>
          <w:bCs/>
          <w:b/>
        </w:rPr>
        <w:t xml:space="preserve">fournisseur d’identité (OIDC) activable projet par projet</w:t>
      </w:r>
      <w:r>
        <w:t xml:space="preserve">. C’est</w:t>
      </w:r>
      <w:r>
        <w:t xml:space="preserve"> </w:t>
      </w:r>
      <w:r>
        <w:rPr>
          <w:bCs/>
          <w:b/>
        </w:rPr>
        <w:t xml:space="preserve">une option opt-in</w:t>
      </w:r>
      <w:r>
        <w:t xml:space="preserve">, jamais le comportement par défaut. Le modèle par défaut reste : les users restent dans le produit.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capacités-fonctionnelles"/>
    <w:p>
      <w:pPr>
        <w:pStyle w:val="Heading1"/>
      </w:pPr>
      <w:r>
        <w:t xml:space="preserve">5. Capacités fonctionnelles</w:t>
      </w:r>
    </w:p>
    <w:p>
      <w:pPr>
        <w:pStyle w:val="FirstParagraph"/>
      </w:pPr>
      <w:r>
        <w:t xml:space="preserve">Chaque capacité est activable par Project. Toutes ne sont pas nécessaires à tous les produits.</w:t>
      </w:r>
    </w:p>
    <w:bookmarkStart w:id="35" w:name="identity-access-plateforme"/>
    <w:p>
      <w:pPr>
        <w:pStyle w:val="Heading2"/>
      </w:pPr>
      <w:r>
        <w:t xml:space="preserve">5.1 Identity &amp; Access (plateforme)</w:t>
      </w:r>
    </w:p>
    <w:p>
      <w:pPr>
        <w:numPr>
          <w:ilvl w:val="0"/>
          <w:numId w:val="1006"/>
        </w:numPr>
        <w:pStyle w:val="Compact"/>
      </w:pPr>
      <w:r>
        <w:t xml:space="preserve">Gestion des Organizations et Projects.</w:t>
      </w:r>
    </w:p>
    <w:p>
      <w:pPr>
        <w:numPr>
          <w:ilvl w:val="0"/>
          <w:numId w:val="1006"/>
        </w:numPr>
        <w:pStyle w:val="Compact"/>
      </w:pPr>
      <w:r>
        <w:t xml:space="preserve">Émission et révocation d’API keys et de clients OAuth2, avec scopes.</w:t>
      </w:r>
    </w:p>
    <w:p>
      <w:pPr>
        <w:numPr>
          <w:ilvl w:val="0"/>
          <w:numId w:val="1006"/>
        </w:numPr>
        <w:pStyle w:val="Compact"/>
      </w:pPr>
      <w:r>
        <w:t xml:space="preserve">Séparation sandbox / live.</w:t>
      </w:r>
    </w:p>
    <w:p>
      <w:pPr>
        <w:numPr>
          <w:ilvl w:val="0"/>
          <w:numId w:val="1006"/>
        </w:numPr>
        <w:pStyle w:val="Compact"/>
      </w:pPr>
      <w:r>
        <w:t xml:space="preserve">Rôles et permissions pour les opérateurs plateforme (RBAC).</w:t>
      </w:r>
    </w:p>
    <w:p>
      <w:pPr>
        <w:numPr>
          <w:ilvl w:val="0"/>
          <w:numId w:val="1006"/>
        </w:numPr>
        <w:pStyle w:val="Compact"/>
      </w:pPr>
      <w:r>
        <w:t xml:space="preserve">Invitations et gestion des accès opérateurs.</w:t>
      </w:r>
    </w:p>
    <w:p>
      <w:pPr>
        <w:numPr>
          <w:ilvl w:val="0"/>
          <w:numId w:val="1006"/>
        </w:numPr>
        <w:pStyle w:val="Compact"/>
      </w:pPr>
      <w:r>
        <w:t xml:space="preserve">Journalisation des connexions et événements de sécurité.</w:t>
      </w:r>
    </w:p>
    <w:bookmarkEnd w:id="35"/>
    <w:bookmarkStart w:id="36" w:name="organizations-projects-tenancy"/>
    <w:p>
      <w:pPr>
        <w:pStyle w:val="Heading2"/>
      </w:pPr>
      <w:r>
        <w:t xml:space="preserve">5.2 Organizations, Projects &amp; Tenancy</w:t>
      </w:r>
    </w:p>
    <w:p>
      <w:pPr>
        <w:numPr>
          <w:ilvl w:val="0"/>
          <w:numId w:val="1007"/>
        </w:numPr>
        <w:pStyle w:val="Compact"/>
      </w:pPr>
      <w:r>
        <w:t xml:space="preserve">Une Organization possède plusieurs Projects.</w:t>
      </w:r>
    </w:p>
    <w:p>
      <w:pPr>
        <w:numPr>
          <w:ilvl w:val="0"/>
          <w:numId w:val="1007"/>
        </w:numPr>
        <w:pStyle w:val="Compact"/>
      </w:pPr>
      <w:r>
        <w:t xml:space="preserve">Un Project active un ensemble de capacités et possède ses credentials et environnements.</w:t>
      </w:r>
    </w:p>
    <w:p>
      <w:pPr>
        <w:numPr>
          <w:ilvl w:val="0"/>
          <w:numId w:val="1007"/>
        </w:numPr>
        <w:pStyle w:val="Compact"/>
      </w:pPr>
      <w:r>
        <w:t xml:space="preserve">Les données de configuration et d’usage sont isolées par Organization / Project.</w:t>
      </w:r>
    </w:p>
    <w:p>
      <w:pPr>
        <w:numPr>
          <w:ilvl w:val="0"/>
          <w:numId w:val="1007"/>
        </w:numPr>
        <w:pStyle w:val="Compact"/>
      </w:pPr>
      <w:r>
        <w:t xml:space="preserve">Un client externe dispose de sa propre Organization et de ses applications.</w:t>
      </w:r>
    </w:p>
    <w:bookmarkEnd w:id="36"/>
    <w:bookmarkStart w:id="37" w:name="parties-wallets"/>
    <w:p>
      <w:pPr>
        <w:pStyle w:val="Heading2"/>
      </w:pPr>
      <w:r>
        <w:t xml:space="preserve">5.3 Parties &amp; Wallets</w:t>
      </w:r>
    </w:p>
    <w:p>
      <w:pPr>
        <w:numPr>
          <w:ilvl w:val="0"/>
          <w:numId w:val="1008"/>
        </w:numPr>
        <w:pStyle w:val="Compact"/>
      </w:pPr>
      <w:r>
        <w:t xml:space="preserve">Création lazy de Parties par référence externe.</w:t>
      </w:r>
    </w:p>
    <w:p>
      <w:pPr>
        <w:numPr>
          <w:ilvl w:val="0"/>
          <w:numId w:val="1008"/>
        </w:numPr>
        <w:pStyle w:val="Compact"/>
      </w:pPr>
      <w:r>
        <w:t xml:space="preserve">Wallets rattachés à un Party ; plusieurs wallets possibles (par devise).</w:t>
      </w:r>
    </w:p>
    <w:p>
      <w:pPr>
        <w:numPr>
          <w:ilvl w:val="0"/>
          <w:numId w:val="1008"/>
        </w:numPr>
        <w:pStyle w:val="Compact"/>
      </w:pPr>
      <w:r>
        <w:t xml:space="preserve">Dépôts, retraits, transferts, réservations (holds).</w:t>
      </w:r>
    </w:p>
    <w:p>
      <w:pPr>
        <w:numPr>
          <w:ilvl w:val="0"/>
          <w:numId w:val="1008"/>
        </w:numPr>
        <w:pStyle w:val="Compact"/>
      </w:pPr>
      <w:r>
        <w:t xml:space="preserve">Historique complet des mouvements.</w:t>
      </w:r>
    </w:p>
    <w:p>
      <w:pPr>
        <w:numPr>
          <w:ilvl w:val="0"/>
          <w:numId w:val="1008"/>
        </w:numPr>
        <w:pStyle w:val="Compact"/>
      </w:pPr>
      <w:r>
        <w:t xml:space="preserve">Solde adossé au ledger (source de vérité).</w:t>
      </w:r>
    </w:p>
    <w:p>
      <w:pPr>
        <w:numPr>
          <w:ilvl w:val="0"/>
          <w:numId w:val="1008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type de propriétaire du wallet dépend de l’application</w:t>
      </w:r>
      <w:r>
        <w:t xml:space="preserve"> </w:t>
      </w:r>
      <w:r>
        <w:t xml:space="preserve">: parfois le client d’un SaaS (un propriétaire qui paie un abonnement ERP), parfois chaque end-user d’une plateforme grand public. Le mécanisme est identique : le propriétaire est toujours un Party.</w:t>
      </w:r>
    </w:p>
    <w:bookmarkEnd w:id="37"/>
    <w:bookmarkStart w:id="38" w:name="payment-orchestration"/>
    <w:p>
      <w:pPr>
        <w:pStyle w:val="Heading2"/>
      </w:pPr>
      <w:r>
        <w:t xml:space="preserve">5.4 Payment orchestration</w:t>
      </w:r>
    </w:p>
    <w:p>
      <w:pPr>
        <w:numPr>
          <w:ilvl w:val="0"/>
          <w:numId w:val="1009"/>
        </w:numPr>
        <w:pStyle w:val="Compact"/>
      </w:pPr>
      <w:r>
        <w:t xml:space="preserve">Création d’une</w:t>
      </w:r>
      <w:r>
        <w:t xml:space="preserve"> </w:t>
      </w:r>
      <w:r>
        <w:rPr>
          <w:bCs/>
          <w:b/>
        </w:rPr>
        <w:t xml:space="preserve">Payment Intent</w:t>
      </w:r>
      <w:r>
        <w:t xml:space="preserve"> </w:t>
      </w:r>
      <w:r>
        <w:t xml:space="preserve">par le produit (montant, devise, méthode souhaitée, référence produit, clé d’idempotence).</w:t>
      </w:r>
    </w:p>
    <w:p>
      <w:pPr>
        <w:numPr>
          <w:ilvl w:val="0"/>
          <w:numId w:val="1009"/>
        </w:numPr>
        <w:pStyle w:val="Compact"/>
      </w:pPr>
      <w:r>
        <w:t xml:space="preserve">Le Core choisit le provider adéquat via règles de routage et appelle l’adaptateur correspondant.</w:t>
      </w:r>
    </w:p>
    <w:p>
      <w:pPr>
        <w:numPr>
          <w:ilvl w:val="0"/>
          <w:numId w:val="1009"/>
        </w:numPr>
        <w:pStyle w:val="Compact"/>
      </w:pPr>
      <w:r>
        <w:t xml:space="preserve">Gestion des callbacks/webhooks provider, vérification et rapprochement de statut.</w:t>
      </w:r>
    </w:p>
    <w:p>
      <w:pPr>
        <w:numPr>
          <w:ilvl w:val="0"/>
          <w:numId w:val="1009"/>
        </w:numPr>
        <w:pStyle w:val="Compact"/>
      </w:pPr>
      <w:r>
        <w:t xml:space="preserve">Retry contrôlé, timeout, gestion des échecs, opérations compensatoires (refunds) lorsque supportées.</w:t>
      </w:r>
    </w:p>
    <w:p>
      <w:pPr>
        <w:numPr>
          <w:ilvl w:val="0"/>
          <w:numId w:val="1009"/>
        </w:numPr>
        <w:pStyle w:val="Compact"/>
      </w:pPr>
      <w:r>
        <w:t xml:space="preserve">Réponse immédiate au produit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notification asynchrone par webhook signé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endpoint de consultation de statut (les trois modes).</w:t>
      </w:r>
    </w:p>
    <w:p>
      <w:pPr>
        <w:numPr>
          <w:ilvl w:val="0"/>
          <w:numId w:val="1009"/>
        </w:numPr>
        <w:pStyle w:val="Compact"/>
      </w:pPr>
      <w:r>
        <w:t xml:space="preserve">Le produit</w:t>
      </w:r>
      <w:r>
        <w:t xml:space="preserve"> </w:t>
      </w:r>
      <w:r>
        <w:rPr>
          <w:bCs/>
          <w:b/>
        </w:rPr>
        <w:t xml:space="preserve">ne connaît jamais</w:t>
      </w:r>
      <w:r>
        <w:t xml:space="preserve"> </w:t>
      </w:r>
      <w:r>
        <w:t xml:space="preserve">la logique interne de chaque provider.</w:t>
      </w:r>
    </w:p>
    <w:bookmarkEnd w:id="38"/>
    <w:bookmarkStart w:id="39" w:name="payouts-distribution"/>
    <w:p>
      <w:pPr>
        <w:pStyle w:val="Heading2"/>
      </w:pPr>
      <w:r>
        <w:t xml:space="preserve">5.5 Payouts &amp; distribution</w:t>
      </w:r>
    </w:p>
    <w:p>
      <w:pPr>
        <w:numPr>
          <w:ilvl w:val="0"/>
          <w:numId w:val="1010"/>
        </w:numPr>
        <w:pStyle w:val="Compact"/>
      </w:pPr>
      <w:r>
        <w:t xml:space="preserve">Versements vers des bénéficiaires (Parties de type merchant, agent, partner…).</w:t>
      </w:r>
    </w:p>
    <w:p>
      <w:pPr>
        <w:numPr>
          <w:ilvl w:val="0"/>
          <w:numId w:val="1010"/>
        </w:numPr>
        <w:pStyle w:val="Compact"/>
      </w:pPr>
      <w:r>
        <w:t xml:space="preserve">Distribution d’une transaction entre plusieurs acteurs : montant bénéficiaire, frais plateforme, commission agent, commission partenaire, frais provider.</w:t>
      </w:r>
    </w:p>
    <w:p>
      <w:pPr>
        <w:numPr>
          <w:ilvl w:val="0"/>
          <w:numId w:val="1010"/>
        </w:numPr>
        <w:pStyle w:val="Compact"/>
      </w:pPr>
      <w:r>
        <w:t xml:space="preserve">Traçabilité complète des distributions appliquées.</w:t>
      </w:r>
    </w:p>
    <w:bookmarkEnd w:id="39"/>
    <w:bookmarkStart w:id="40" w:name="fee-commission-engine"/>
    <w:p>
      <w:pPr>
        <w:pStyle w:val="Heading2"/>
      </w:pPr>
      <w:r>
        <w:t xml:space="preserve">5.6 Fee &amp; Commission Engine</w:t>
      </w:r>
    </w:p>
    <w:p>
      <w:pPr>
        <w:numPr>
          <w:ilvl w:val="0"/>
          <w:numId w:val="1011"/>
        </w:numPr>
        <w:pStyle w:val="Compact"/>
      </w:pPr>
      <w:r>
        <w:t xml:space="preserve">Règles configurables dépendant du produit, de l’opération, du montant, de la devise, de l’acteur, du provider, du pays ou d’un contrat.</w:t>
      </w:r>
    </w:p>
    <w:p>
      <w:pPr>
        <w:numPr>
          <w:ilvl w:val="0"/>
          <w:numId w:val="1011"/>
        </w:numPr>
        <w:pStyle w:val="Compact"/>
      </w:pPr>
      <w:r>
        <w:t xml:space="preserve">Pourcentage, montant fixe, ou combinaison, avec minimum/maximum.</w:t>
      </w:r>
    </w:p>
    <w:p>
      <w:pPr>
        <w:numPr>
          <w:ilvl w:val="0"/>
          <w:numId w:val="1011"/>
        </w:numPr>
        <w:pStyle w:val="Compact"/>
      </w:pPr>
      <w:r>
        <w:t xml:space="preserve">Priorité des règles, versionnement et date d’effet.</w:t>
      </w:r>
    </w:p>
    <w:p>
      <w:pPr>
        <w:numPr>
          <w:ilvl w:val="0"/>
          <w:numId w:val="1011"/>
        </w:numPr>
        <w:pStyle w:val="Compact"/>
      </w:pPr>
      <w:r>
        <w:t xml:space="preserve">Simulation avant activation.</w:t>
      </w:r>
    </w:p>
    <w:p>
      <w:pPr>
        <w:numPr>
          <w:ilvl w:val="0"/>
          <w:numId w:val="1011"/>
        </w:numPr>
        <w:pStyle w:val="Compact"/>
      </w:pPr>
      <w:r>
        <w:t xml:space="preserve">Historisation de la règle exacte appliquée à chaque transaction.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Les frais ne sont jamais codés en dur dans les applications.</w:t>
      </w:r>
    </w:p>
    <w:bookmarkEnd w:id="40"/>
    <w:bookmarkStart w:id="41" w:name="billing-subscriptions"/>
    <w:p>
      <w:pPr>
        <w:pStyle w:val="Heading2"/>
      </w:pPr>
      <w:r>
        <w:t xml:space="preserve">5.7 Billing &amp; Subscriptions</w:t>
      </w:r>
    </w:p>
    <w:p>
      <w:pPr>
        <w:numPr>
          <w:ilvl w:val="0"/>
          <w:numId w:val="1012"/>
        </w:numPr>
        <w:pStyle w:val="Compact"/>
      </w:pPr>
      <w:r>
        <w:t xml:space="preserve">Products, plans, pricing.</w:t>
      </w:r>
    </w:p>
    <w:p>
      <w:pPr>
        <w:numPr>
          <w:ilvl w:val="0"/>
          <w:numId w:val="1012"/>
        </w:numPr>
        <w:pStyle w:val="Compact"/>
      </w:pPr>
      <w:r>
        <w:t xml:space="preserve">Souscriptions, essais, renouvellements, upgrade/downgrade.</w:t>
      </w:r>
    </w:p>
    <w:p>
      <w:pPr>
        <w:numPr>
          <w:ilvl w:val="0"/>
          <w:numId w:val="1012"/>
        </w:numPr>
        <w:pStyle w:val="Compact"/>
      </w:pPr>
      <w:r>
        <w:t xml:space="preserve">Entitlements et limites (« cette organisation possède-t-elle cette capacité ? »).</w:t>
      </w:r>
    </w:p>
    <w:p>
      <w:pPr>
        <w:numPr>
          <w:ilvl w:val="0"/>
          <w:numId w:val="1012"/>
        </w:numPr>
        <w:pStyle w:val="Compact"/>
      </w:pPr>
      <w:r>
        <w:t xml:space="preserve">Usage metering.</w:t>
      </w:r>
    </w:p>
    <w:p>
      <w:pPr>
        <w:numPr>
          <w:ilvl w:val="0"/>
          <w:numId w:val="1012"/>
        </w:numPr>
        <w:pStyle w:val="Compact"/>
      </w:pPr>
      <w:r>
        <w:t xml:space="preserve">Factures et états de paiement lorsque nécessaire ; coupons/promotions selon besoin.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 Core privilégie les entitlements plutôt que le couplage à des noms de plans</w:t>
      </w:r>
      <w:r>
        <w:t xml:space="preserve">, pour éviter que les produits dépendent de la structure tarifaire.</w:t>
      </w:r>
    </w:p>
    <w:bookmarkEnd w:id="41"/>
    <w:bookmarkStart w:id="42" w:name="notification-orchestration"/>
    <w:p>
      <w:pPr>
        <w:pStyle w:val="Heading2"/>
      </w:pPr>
      <w:r>
        <w:t xml:space="preserve">5.8 Notification orchestration</w:t>
      </w:r>
    </w:p>
    <w:p>
      <w:pPr>
        <w:numPr>
          <w:ilvl w:val="0"/>
          <w:numId w:val="1013"/>
        </w:numPr>
        <w:pStyle w:val="Compact"/>
      </w:pPr>
      <w:r>
        <w:t xml:space="preserve">Templates de notification versionnés.</w:t>
      </w:r>
    </w:p>
    <w:p>
      <w:pPr>
        <w:numPr>
          <w:ilvl w:val="0"/>
          <w:numId w:val="1013"/>
        </w:numPr>
        <w:pStyle w:val="Compact"/>
      </w:pPr>
      <w:r>
        <w:t xml:space="preserve">Canaux email, SMS, WhatsApp, push, in-app (selon providers configurés).</w:t>
      </w:r>
    </w:p>
    <w:p>
      <w:pPr>
        <w:numPr>
          <w:ilvl w:val="0"/>
          <w:numId w:val="1013"/>
        </w:numPr>
        <w:pStyle w:val="Compact"/>
      </w:pPr>
      <w:r>
        <w:t xml:space="preserve">Le produit demande « envoie cette notification » ; le Core choisit et appelle le provider.</w:t>
      </w:r>
    </w:p>
    <w:p>
      <w:pPr>
        <w:numPr>
          <w:ilvl w:val="0"/>
          <w:numId w:val="1013"/>
        </w:numPr>
        <w:pStyle w:val="Compact"/>
      </w:pPr>
      <w:r>
        <w:t xml:space="preserve">Préférences utilisateur, canaux et priorités.</w:t>
      </w:r>
    </w:p>
    <w:p>
      <w:pPr>
        <w:numPr>
          <w:ilvl w:val="0"/>
          <w:numId w:val="1013"/>
        </w:numPr>
        <w:pStyle w:val="Compact"/>
      </w:pPr>
      <w:r>
        <w:t xml:space="preserve">Retry, dead-letter handling, suivi du statut d’envoi, historique et audit.</w:t>
      </w:r>
    </w:p>
    <w:p>
      <w:pPr>
        <w:numPr>
          <w:ilvl w:val="0"/>
          <w:numId w:val="1013"/>
        </w:numPr>
        <w:pStyle w:val="Compact"/>
      </w:pPr>
      <w:r>
        <w:t xml:space="preserve">Notifications transactionnelles et événementielles (ex.</w:t>
      </w:r>
      <w:r>
        <w:t xml:space="preserve"> </w:t>
      </w:r>
      <w:r>
        <w:rPr>
          <w:rStyle w:val="VerbatimChar"/>
        </w:rPr>
        <w:t xml:space="preserve">payment.completed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subscription.expiring</w:t>
      </w:r>
      <w:r>
        <w:t xml:space="preserve">).</w:t>
      </w:r>
    </w:p>
    <w:bookmarkEnd w:id="42"/>
    <w:bookmarkStart w:id="43" w:name="storage-media"/>
    <w:p>
      <w:pPr>
        <w:pStyle w:val="Heading2"/>
      </w:pPr>
      <w:r>
        <w:t xml:space="preserve">5.9 Storage &amp; Media</w:t>
      </w:r>
    </w:p>
    <w:p>
      <w:pPr>
        <w:numPr>
          <w:ilvl w:val="0"/>
          <w:numId w:val="1014"/>
        </w:numPr>
        <w:pStyle w:val="Compact"/>
      </w:pPr>
      <w:r>
        <w:t xml:space="preserve">Stockage objet compatible S3, métadonnées et ownership.</w:t>
      </w:r>
    </w:p>
    <w:p>
      <w:pPr>
        <w:numPr>
          <w:ilvl w:val="0"/>
          <w:numId w:val="1014"/>
        </w:numPr>
        <w:pStyle w:val="Compact"/>
      </w:pPr>
      <w:r>
        <w:t xml:space="preserve">Signed URLs, contrôle d’accès, organisation par projet/environnement.</w:t>
      </w:r>
    </w:p>
    <w:p>
      <w:pPr>
        <w:numPr>
          <w:ilvl w:val="0"/>
          <w:numId w:val="1014"/>
        </w:numPr>
        <w:pStyle w:val="Compact"/>
      </w:pPr>
      <w:r>
        <w:t xml:space="preserve">Cycle de vie (suppression, expiration), traitement média si nécessaire.</w:t>
      </w:r>
    </w:p>
    <w:bookmarkEnd w:id="43"/>
    <w:bookmarkStart w:id="44" w:name="audit-compliance"/>
    <w:p>
      <w:pPr>
        <w:pStyle w:val="Heading2"/>
      </w:pPr>
      <w:r>
        <w:t xml:space="preserve">5.10 Audit &amp; Compliance</w:t>
      </w:r>
    </w:p>
    <w:p>
      <w:pPr>
        <w:numPr>
          <w:ilvl w:val="0"/>
          <w:numId w:val="1015"/>
        </w:numPr>
        <w:pStyle w:val="Compact"/>
      </w:pPr>
      <w:r>
        <w:t xml:space="preserve">Enregistrement des opérations sensibles : acteur, action, ressource, horodatage, contexte/IP (lorsque approprié), valeurs avant/après pour les changements critiques, corrélation, source.</w:t>
      </w:r>
    </w:p>
    <w:p>
      <w:pPr>
        <w:numPr>
          <w:ilvl w:val="0"/>
          <w:numId w:val="1015"/>
        </w:numPr>
        <w:pStyle w:val="Compact"/>
      </w:pPr>
      <w:r>
        <w:t xml:space="preserve">Consultable par les opérateurs autorisés.</w:t>
      </w:r>
    </w:p>
    <w:bookmarkEnd w:id="44"/>
    <w:bookmarkStart w:id="45" w:name="events-webhooks"/>
    <w:p>
      <w:pPr>
        <w:pStyle w:val="Heading2"/>
      </w:pPr>
      <w:r>
        <w:t xml:space="preserve">5.11 Events &amp; Webhooks</w:t>
      </w:r>
    </w:p>
    <w:p>
      <w:pPr>
        <w:numPr>
          <w:ilvl w:val="0"/>
          <w:numId w:val="1016"/>
        </w:numPr>
        <w:pStyle w:val="Compact"/>
      </w:pPr>
      <w:r>
        <w:t xml:space="preserve">Modèle d’événements standardisé décrivant des faits métier ou techniques (</w:t>
      </w:r>
      <w:r>
        <w:rPr>
          <w:rStyle w:val="VerbatimChar"/>
        </w:rPr>
        <w:t xml:space="preserve">payment.completed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wallet.credited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subscription.renewed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payout.failed</w:t>
      </w:r>
      <w:r>
        <w:t xml:space="preserve">…).</w:t>
      </w:r>
    </w:p>
    <w:p>
      <w:pPr>
        <w:numPr>
          <w:ilvl w:val="0"/>
          <w:numId w:val="1016"/>
        </w:numPr>
        <w:pStyle w:val="Compact"/>
      </w:pPr>
      <w:r>
        <w:t xml:space="preserve">Webhooks signés vers les applications, avec idempotence, retry, backoff, historique, statut et replay contrôlé.</w:t>
      </w:r>
    </w:p>
    <w:bookmarkEnd w:id="45"/>
    <w:bookmarkStart w:id="46" w:name="developer-platform"/>
    <w:p>
      <w:pPr>
        <w:pStyle w:val="Heading2"/>
      </w:pPr>
      <w:r>
        <w:t xml:space="preserve">5.12 Developer Platform</w:t>
      </w:r>
    </w:p>
    <w:p>
      <w:pPr>
        <w:numPr>
          <w:ilvl w:val="0"/>
          <w:numId w:val="1017"/>
        </w:numPr>
        <w:pStyle w:val="Compact"/>
      </w:pPr>
      <w:r>
        <w:t xml:space="preserve">API versionnées, documentation OpenAPI, portail développeur.</w:t>
      </w:r>
    </w:p>
    <w:p>
      <w:pPr>
        <w:numPr>
          <w:ilvl w:val="0"/>
          <w:numId w:val="1017"/>
        </w:numPr>
        <w:pStyle w:val="Compact"/>
      </w:pPr>
      <w:r>
        <w:t xml:space="preserve">Gestion des API keys et clients OAuth, scopes, quotas, rate limiting.</w:t>
      </w:r>
    </w:p>
    <w:p>
      <w:pPr>
        <w:numPr>
          <w:ilvl w:val="0"/>
          <w:numId w:val="1017"/>
        </w:numPr>
        <w:pStyle w:val="Compact"/>
      </w:pPr>
      <w:r>
        <w:t xml:space="preserve">Environnements sandbox / live.</w:t>
      </w:r>
    </w:p>
    <w:p>
      <w:pPr>
        <w:numPr>
          <w:ilvl w:val="0"/>
          <w:numId w:val="1017"/>
        </w:numPr>
        <w:pStyle w:val="Compact"/>
      </w:pPr>
      <w:r>
        <w:t xml:space="preserve">Gestion des webhooks côté consommateur.</w:t>
      </w:r>
    </w:p>
    <w:p>
      <w:pPr>
        <w:numPr>
          <w:ilvl w:val="0"/>
          <w:numId w:val="1017"/>
        </w:numPr>
        <w:pStyle w:val="Compact"/>
      </w:pPr>
      <w:r>
        <w:t xml:space="preserve">SDK (PHP prioritaire) lorsque leur valeur est démontrée.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parcours-fonctionnels-clés"/>
    <w:p>
      <w:pPr>
        <w:pStyle w:val="Heading1"/>
      </w:pPr>
      <w:r>
        <w:t xml:space="preserve">6. Parcours fonctionnels clés</w:t>
      </w:r>
    </w:p>
    <w:bookmarkStart w:id="48" w:name="X2529e41a997899bbf0d0a8696aa62f240d3cbea"/>
    <w:p>
      <w:pPr>
        <w:pStyle w:val="Heading2"/>
      </w:pPr>
      <w:r>
        <w:t xml:space="preserve">6.1 Un produit interne encaisse un paiement mobile money</w:t>
      </w:r>
    </w:p>
    <w:p>
      <w:pPr>
        <w:numPr>
          <w:ilvl w:val="0"/>
          <w:numId w:val="1018"/>
        </w:numPr>
        <w:pStyle w:val="Compact"/>
      </w:pPr>
      <w:r>
        <w:t xml:space="preserve">Le end-user choisit de payer dans l’application produit.</w:t>
      </w:r>
    </w:p>
    <w:p>
      <w:pPr>
        <w:numPr>
          <w:ilvl w:val="0"/>
          <w:numId w:val="1018"/>
        </w:numPr>
        <w:pStyle w:val="Compact"/>
      </w:pPr>
      <w:r>
        <w:t xml:space="preserve">Le produit appelle l’API Paiement du Core (montant, devise, méthode, référence, clé d’idempotence), authentifié par ses credentials de Project.</w:t>
      </w:r>
    </w:p>
    <w:p>
      <w:pPr>
        <w:numPr>
          <w:ilvl w:val="0"/>
          <w:numId w:val="1018"/>
        </w:numPr>
        <w:pStyle w:val="Compact"/>
      </w:pPr>
      <w:r>
        <w:t xml:space="preserve">Le Core calcule les frais applicables, choisit le provider (MTN ou Orange selon la méthode/le numéro), et déclenche la collecte via l’adaptateur.</w:t>
      </w:r>
    </w:p>
    <w:p>
      <w:pPr>
        <w:numPr>
          <w:ilvl w:val="0"/>
          <w:numId w:val="1018"/>
        </w:numPr>
        <w:pStyle w:val="Compact"/>
      </w:pPr>
      <w:r>
        <w:t xml:space="preserve">Le provider traite et notifie le Core (callback) ; le Core vérifie le statut.</w:t>
      </w:r>
    </w:p>
    <w:p>
      <w:pPr>
        <w:numPr>
          <w:ilvl w:val="0"/>
          <w:numId w:val="1018"/>
        </w:numPr>
        <w:pStyle w:val="Compact"/>
      </w:pPr>
      <w:r>
        <w:t xml:space="preserve">Le Core enregistre les écritures financières et publie</w:t>
      </w:r>
      <w:r>
        <w:t xml:space="preserve"> </w:t>
      </w:r>
      <w:r>
        <w:rPr>
          <w:rStyle w:val="VerbatimChar"/>
        </w:rPr>
        <w:t xml:space="preserve">payment.completed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Le produit reçoit un webhook signé et met à jour</w:t>
      </w:r>
      <w:r>
        <w:t xml:space="preserve"> </w:t>
      </w:r>
      <w:r>
        <w:rPr>
          <w:bCs/>
          <w:b/>
        </w:rPr>
        <w:t xml:space="preserve">son propre</w:t>
      </w:r>
      <w:r>
        <w:t xml:space="preserve"> </w:t>
      </w:r>
      <w:r>
        <w:t xml:space="preserve">état métier (commande, réservation…).</w:t>
      </w:r>
    </w:p>
    <w:p>
      <w:pPr>
        <w:numPr>
          <w:ilvl w:val="0"/>
          <w:numId w:val="1018"/>
        </w:numPr>
        <w:pStyle w:val="Compact"/>
      </w:pPr>
      <w:r>
        <w:t xml:space="preserve">Le Core envoie les notifications éventuelles et conserve les traces pour audit et réconciliation.</w:t>
      </w:r>
    </w:p>
    <w:bookmarkEnd w:id="48"/>
    <w:bookmarkStart w:id="49" w:name="un-client-externe-intègre-le-paiement"/>
    <w:p>
      <w:pPr>
        <w:pStyle w:val="Heading2"/>
      </w:pPr>
      <w:r>
        <w:t xml:space="preserve">6.2 Un client externe intègre le paiement</w:t>
      </w:r>
    </w:p>
    <w:p>
      <w:pPr>
        <w:numPr>
          <w:ilvl w:val="0"/>
          <w:numId w:val="1019"/>
        </w:numPr>
        <w:pStyle w:val="Compact"/>
      </w:pPr>
      <w:r>
        <w:t xml:space="preserve">Création d’une Organization cliente et d’un Project/application.</w:t>
      </w:r>
    </w:p>
    <w:p>
      <w:pPr>
        <w:numPr>
          <w:ilvl w:val="0"/>
          <w:numId w:val="1019"/>
        </w:numPr>
        <w:pStyle w:val="Compact"/>
      </w:pPr>
      <w:r>
        <w:t xml:space="preserve">Activation de la capacité Paiement.</w:t>
      </w:r>
    </w:p>
    <w:p>
      <w:pPr>
        <w:numPr>
          <w:ilvl w:val="0"/>
          <w:numId w:val="1019"/>
        </w:numPr>
        <w:pStyle w:val="Compact"/>
      </w:pPr>
      <w:r>
        <w:t xml:space="preserve">Génération des credentials sandbox et live.</w:t>
      </w:r>
    </w:p>
    <w:p>
      <w:pPr>
        <w:numPr>
          <w:ilvl w:val="0"/>
          <w:numId w:val="1019"/>
        </w:numPr>
        <w:pStyle w:val="Compact"/>
      </w:pPr>
      <w:r>
        <w:t xml:space="preserve">Configuration des endpoints webhook du client.</w:t>
      </w:r>
    </w:p>
    <w:p>
      <w:pPr>
        <w:numPr>
          <w:ilvl w:val="0"/>
          <w:numId w:val="1019"/>
        </w:numPr>
        <w:pStyle w:val="Compact"/>
      </w:pPr>
      <w:r>
        <w:t xml:space="preserve">Le client teste en sandbox, puis passe en live.</w:t>
      </w:r>
    </w:p>
    <w:p>
      <w:pPr>
        <w:numPr>
          <w:ilvl w:val="0"/>
          <w:numId w:val="1019"/>
        </w:numPr>
        <w:pStyle w:val="Compact"/>
      </w:pPr>
      <w:r>
        <w:t xml:space="preserve">Le client consulte ses transactions via API et dashboard, et réconcilie via la plateforme.</w:t>
      </w:r>
    </w:p>
    <w:p>
      <w:pPr>
        <w:pStyle w:val="FirstParagraph"/>
      </w:pPr>
      <w:r>
        <w:t xml:space="preserve">Le client ne dépend jamais de la base de données du Core.</w:t>
      </w:r>
    </w:p>
    <w:bookmarkEnd w:id="49"/>
    <w:bookmarkStart w:id="50" w:name="Xedd672b3bd6b77228b5c8517340179ad6e15e0d"/>
    <w:p>
      <w:pPr>
        <w:pStyle w:val="Heading2"/>
      </w:pPr>
      <w:r>
        <w:t xml:space="preserve">6.3 Un end-user d’une plateforme de tourisme reçoit un wallet et est crédité</w:t>
      </w:r>
    </w:p>
    <w:p>
      <w:pPr>
        <w:numPr>
          <w:ilvl w:val="0"/>
          <w:numId w:val="1020"/>
        </w:numPr>
        <w:pStyle w:val="Compact"/>
      </w:pPr>
      <w:r>
        <w:t xml:space="preserve">Un end-user (guide, hôte, prestataire) doit recevoir des fonds.</w:t>
      </w:r>
    </w:p>
    <w:p>
      <w:pPr>
        <w:numPr>
          <w:ilvl w:val="0"/>
          <w:numId w:val="1020"/>
        </w:numPr>
        <w:pStyle w:val="Compact"/>
      </w:pPr>
      <w:r>
        <w:t xml:space="preserve">Au premier besoin, le produit demande au Core la création lazy d’un Party (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= l’ID de l’utilisateur dans le produit) et d’un wallet.</w:t>
      </w:r>
    </w:p>
    <w:p>
      <w:pPr>
        <w:numPr>
          <w:ilvl w:val="0"/>
          <w:numId w:val="1020"/>
        </w:numPr>
        <w:pStyle w:val="Compact"/>
      </w:pPr>
      <w:r>
        <w:t xml:space="preserve">Une transaction crédite le wallet du Party via des écritures au ledger.</w:t>
      </w:r>
    </w:p>
    <w:p>
      <w:pPr>
        <w:numPr>
          <w:ilvl w:val="0"/>
          <w:numId w:val="1020"/>
        </w:numPr>
        <w:pStyle w:val="Compact"/>
      </w:pPr>
      <w:r>
        <w:t xml:space="preserve">Le end-user n’existe dans le Core que sous cette forme légère ; son profil complet reste dans le produit.</w:t>
      </w:r>
    </w:p>
    <w:bookmarkEnd w:id="50"/>
    <w:bookmarkStart w:id="51" w:name="X8773ec8fc6e3f191af515ac0f044c9f0117ef99"/>
    <w:p>
      <w:pPr>
        <w:pStyle w:val="Heading2"/>
      </w:pPr>
      <w:r>
        <w:t xml:space="preserve">6.4 Un propriétaire ERP paie son abonnement SaaS</w:t>
      </w:r>
    </w:p>
    <w:p>
      <w:pPr>
        <w:numPr>
          <w:ilvl w:val="0"/>
          <w:numId w:val="1021"/>
        </w:numPr>
        <w:pStyle w:val="Compact"/>
      </w:pPr>
      <w:r>
        <w:t xml:space="preserve">Le produit SaaS déclare un plan et une souscription pour l’organisation du propriétaire.</w:t>
      </w:r>
    </w:p>
    <w:p>
      <w:pPr>
        <w:numPr>
          <w:ilvl w:val="0"/>
          <w:numId w:val="1021"/>
        </w:numPr>
        <w:pStyle w:val="Compact"/>
      </w:pPr>
      <w:r>
        <w:t xml:space="preserve">À l’échéance, le Core orchestre le prélèvement (via la capacité Paiement) et met à jour l’état de la souscription.</w:t>
      </w:r>
    </w:p>
    <w:p>
      <w:pPr>
        <w:numPr>
          <w:ilvl w:val="0"/>
          <w:numId w:val="1021"/>
        </w:numPr>
        <w:pStyle w:val="Compact"/>
      </w:pPr>
      <w:r>
        <w:t xml:space="preserve">Les entitlements de l’organisation reflètent l’accès aux fonctionnalités.</w:t>
      </w:r>
    </w:p>
    <w:p>
      <w:pPr>
        <w:numPr>
          <w:ilvl w:val="0"/>
          <w:numId w:val="1021"/>
        </w:numPr>
        <w:pStyle w:val="Compact"/>
      </w:pPr>
      <w:r>
        <w:t xml:space="preserve">Le produit interroge les entitlements (« cette organisation a-t-elle droit à X ? ») plutôt que de coder en dur un nom de plan.</w:t>
      </w:r>
    </w:p>
    <w:bookmarkEnd w:id="51"/>
    <w:bookmarkStart w:id="52" w:name="Xe9741ea3869db2f6050823e22adcbee5f830bcc"/>
    <w:p>
      <w:pPr>
        <w:pStyle w:val="Heading2"/>
      </w:pPr>
      <w:r>
        <w:t xml:space="preserve">6.5 Distribution multi-acteurs (commission agent)</w:t>
      </w:r>
    </w:p>
    <w:p>
      <w:pPr>
        <w:numPr>
          <w:ilvl w:val="0"/>
          <w:numId w:val="1022"/>
        </w:numPr>
        <w:pStyle w:val="Compact"/>
      </w:pPr>
      <w:r>
        <w:t xml:space="preserve">Une transaction implique un montant à distribuer.</w:t>
      </w:r>
    </w:p>
    <w:p>
      <w:pPr>
        <w:numPr>
          <w:ilvl w:val="0"/>
          <w:numId w:val="1022"/>
        </w:numPr>
        <w:pStyle w:val="Compact"/>
      </w:pPr>
      <w:r>
        <w:t xml:space="preserve">Le Fee &amp; Commission Engine calcule le plan de distribution : montant bénéficiaire, frais plateforme, commission agent, frais provider.</w:t>
      </w:r>
    </w:p>
    <w:p>
      <w:pPr>
        <w:numPr>
          <w:ilvl w:val="0"/>
          <w:numId w:val="1022"/>
        </w:numPr>
        <w:pStyle w:val="Compact"/>
      </w:pPr>
      <w:r>
        <w:t xml:space="preserve">Le Core enregistre l’ensemble des écritures dans une seule opération cohérente et distribue vers les wallets/parties concernés.</w:t>
      </w:r>
    </w:p>
    <w:p>
      <w:pPr>
        <w:numPr>
          <w:ilvl w:val="0"/>
          <w:numId w:val="1022"/>
        </w:numPr>
        <w:pStyle w:val="Compact"/>
      </w:pPr>
      <w:r>
        <w:t xml:space="preserve">La règle exacte appliquée est historisée pour audit.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ègles-de-gestion"/>
    <w:p>
      <w:pPr>
        <w:pStyle w:val="Heading1"/>
      </w:pPr>
      <w:r>
        <w:t xml:space="preserve">7. Règles de gestion</w:t>
      </w:r>
    </w:p>
    <w:bookmarkStart w:id="54" w:name="argent"/>
    <w:p>
      <w:pPr>
        <w:pStyle w:val="Heading2"/>
      </w:pPr>
      <w:r>
        <w:t xml:space="preserve">7.1 Argent</w:t>
      </w:r>
    </w:p>
    <w:p>
      <w:pPr>
        <w:numPr>
          <w:ilvl w:val="0"/>
          <w:numId w:val="1023"/>
        </w:numPr>
        <w:pStyle w:val="Compact"/>
      </w:pPr>
      <w:r>
        <w:t xml:space="preserve">Toute opération financière significative est représentée par des écritures immuables au ledger.</w:t>
      </w:r>
    </w:p>
    <w:p>
      <w:pPr>
        <w:numPr>
          <w:ilvl w:val="0"/>
          <w:numId w:val="1023"/>
        </w:numPr>
        <w:pStyle w:val="Compact"/>
      </w:pPr>
      <w:r>
        <w:t xml:space="preserve">Le solde est une vue dérivée/matérialisée, jamais un simple champ mis à jour librement.</w:t>
      </w:r>
    </w:p>
    <w:p>
      <w:pPr>
        <w:numPr>
          <w:ilvl w:val="0"/>
          <w:numId w:val="1023"/>
        </w:numPr>
        <w:pStyle w:val="Compact"/>
      </w:pPr>
      <w:r>
        <w:t xml:space="preserve">Les montants sont manipulés en unités mineures entières associées à une devise ; aucune arithmétique en virgule flottante.</w:t>
      </w:r>
    </w:p>
    <w:p>
      <w:pPr>
        <w:numPr>
          <w:ilvl w:val="0"/>
          <w:numId w:val="1023"/>
        </w:numPr>
        <w:pStyle w:val="Compact"/>
      </w:pPr>
      <w:r>
        <w:t xml:space="preserve">Chaque opération monétaire porte une</w:t>
      </w:r>
      <w:r>
        <w:t xml:space="preserve"> </w:t>
      </w:r>
      <w:r>
        <w:rPr>
          <w:bCs/>
          <w:b/>
        </w:rPr>
        <w:t xml:space="preserve">clé d’idempotence</w:t>
      </w:r>
      <w:r>
        <w:t xml:space="preserve"> </w:t>
      </w:r>
      <w:r>
        <w:t xml:space="preserve">: rejouer la même requête ne crée jamais de double mouvement.</w:t>
      </w:r>
    </w:p>
    <w:bookmarkEnd w:id="54"/>
    <w:bookmarkStart w:id="55" w:name="frais-et-commissions"/>
    <w:p>
      <w:pPr>
        <w:pStyle w:val="Heading2"/>
      </w:pPr>
      <w:r>
        <w:t xml:space="preserve">7.2 Frais et commissions</w:t>
      </w:r>
    </w:p>
    <w:p>
      <w:pPr>
        <w:numPr>
          <w:ilvl w:val="0"/>
          <w:numId w:val="1024"/>
        </w:numPr>
        <w:pStyle w:val="Compact"/>
      </w:pPr>
      <w:r>
        <w:t xml:space="preserve">Calculés exclusivement par le moteur de règles, jamais dans les applications.</w:t>
      </w:r>
    </w:p>
    <w:p>
      <w:pPr>
        <w:numPr>
          <w:ilvl w:val="0"/>
          <w:numId w:val="1024"/>
        </w:numPr>
        <w:pStyle w:val="Compact"/>
      </w:pPr>
      <w:r>
        <w:t xml:space="preserve">La règle appliquée à une transaction est figée et historisée (versionnement + date d’effet).</w:t>
      </w:r>
    </w:p>
    <w:bookmarkEnd w:id="55"/>
    <w:bookmarkStart w:id="56" w:name="idempotence-et-fiabilité"/>
    <w:p>
      <w:pPr>
        <w:pStyle w:val="Heading2"/>
      </w:pPr>
      <w:r>
        <w:t xml:space="preserve">7.3 Idempotence et fiabilité</w:t>
      </w:r>
    </w:p>
    <w:p>
      <w:pPr>
        <w:numPr>
          <w:ilvl w:val="0"/>
          <w:numId w:val="1025"/>
        </w:numPr>
        <w:pStyle w:val="Compact"/>
      </w:pPr>
      <w:r>
        <w:t xml:space="preserve">Les paiements, versements, crédits/débits de wallet et livraisons de webhooks sont idempotents.</w:t>
      </w:r>
    </w:p>
    <w:p>
      <w:pPr>
        <w:numPr>
          <w:ilvl w:val="0"/>
          <w:numId w:val="1025"/>
        </w:numPr>
        <w:pStyle w:val="Compact"/>
      </w:pPr>
      <w:r>
        <w:t xml:space="preserve">Les callbacks provider sont protégés contre le rejeu.</w:t>
      </w:r>
    </w:p>
    <w:bookmarkEnd w:id="56"/>
    <w:bookmarkStart w:id="57" w:name="séparation-sandbox-live"/>
    <w:p>
      <w:pPr>
        <w:pStyle w:val="Heading2"/>
      </w:pPr>
      <w:r>
        <w:t xml:space="preserve">7.4 Séparation sandbox / live</w:t>
      </w:r>
    </w:p>
    <w:p>
      <w:pPr>
        <w:numPr>
          <w:ilvl w:val="0"/>
          <w:numId w:val="1026"/>
        </w:numPr>
        <w:pStyle w:val="Compact"/>
      </w:pPr>
      <w:r>
        <w:t xml:space="preserve">Les données, credentials et effets sandbox sont totalement isolés du live.</w:t>
      </w:r>
    </w:p>
    <w:p>
      <w:pPr>
        <w:numPr>
          <w:ilvl w:val="0"/>
          <w:numId w:val="1026"/>
        </w:numPr>
        <w:pStyle w:val="Compact"/>
      </w:pPr>
      <w:r>
        <w:t xml:space="preserve">Aucun mouvement d’argent réel en sandbox.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ôles-et-permissions"/>
    <w:p>
      <w:pPr>
        <w:pStyle w:val="Heading1"/>
      </w:pPr>
      <w:r>
        <w:t xml:space="preserve">8. Rôles et permissions</w:t>
      </w:r>
    </w:p>
    <w:bookmarkStart w:id="59" w:name="rôles-opérateur-plateforme-indicatif"/>
    <w:p>
      <w:pPr>
        <w:pStyle w:val="Heading2"/>
      </w:pPr>
      <w:r>
        <w:t xml:space="preserve">8.1 Rôles opérateur plateforme (indicatif)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 typique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complet, gestion des opérateurs, configuration critique.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wallets, ledger, réconciliation, frais/commissions.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transactions, statuts, relance de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des providers et du routage.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Read-only /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seule, audit logs.</w:t>
            </w:r>
          </w:p>
        </w:tc>
      </w:tr>
    </w:tbl>
    <w:p>
      <w:pPr>
        <w:pStyle w:val="BodyText"/>
      </w:pPr>
      <w:r>
        <w:t xml:space="preserve">Les actions critiques (modification de règles de frais, configuration provider live, remboursements) exigent des permissions dédiées et sont auditées.</w:t>
      </w:r>
    </w:p>
    <w:bookmarkEnd w:id="59"/>
    <w:bookmarkStart w:id="60" w:name="accès-des-applications-consommatrices"/>
    <w:p>
      <w:pPr>
        <w:pStyle w:val="Heading2"/>
      </w:pPr>
      <w:r>
        <w:t xml:space="preserve">8.2 Accès des applications consommatrices</w:t>
      </w:r>
    </w:p>
    <w:p>
      <w:pPr>
        <w:pStyle w:val="FirstParagraph"/>
      </w:pPr>
      <w:r>
        <w:t xml:space="preserve">Les Projects accèdent aux capacités via scopes (ex.</w:t>
      </w:r>
      <w:r>
        <w:t xml:space="preserve"> </w:t>
      </w:r>
      <w:r>
        <w:rPr>
          <w:rStyle w:val="VerbatimChar"/>
        </w:rPr>
        <w:t xml:space="preserve">payments:write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wallets:read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notifications:send</w:t>
      </w:r>
      <w:r>
        <w:t xml:space="preserve">). Un client externe n’obtient que les scopes strictement nécessaires.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e-qui-nentre-pas-dans-le-core"/>
    <w:p>
      <w:pPr>
        <w:pStyle w:val="Heading1"/>
      </w:pPr>
      <w:r>
        <w:t xml:space="preserve">9. Ce qui n’entre PAS dans le Core</w:t>
      </w:r>
    </w:p>
    <w:p>
      <w:pPr>
        <w:pStyle w:val="FirstParagraph"/>
      </w:pPr>
      <w:r>
        <w:t xml:space="preserve">Pour éviter la dérive vers un fourre-tout métier, restent</w:t>
      </w:r>
      <w:r>
        <w:t xml:space="preserve"> </w:t>
      </w:r>
      <w:r>
        <w:rPr>
          <w:bCs/>
          <w:b/>
        </w:rPr>
        <w:t xml:space="preserve">dans les produits</w:t>
      </w:r>
      <w:r>
        <w:t xml:space="preserve"> 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la gestion des chambres et réservations d’un hôtel ;</w:t>
      </w:r>
    </w:p>
    <w:p>
      <w:pPr>
        <w:numPr>
          <w:ilvl w:val="0"/>
          <w:numId w:val="1027"/>
        </w:numPr>
        <w:pStyle w:val="Compact"/>
      </w:pPr>
      <w:r>
        <w:t xml:space="preserve">la gestion pédagogique d’un établissement ;</w:t>
      </w:r>
    </w:p>
    <w:p>
      <w:pPr>
        <w:numPr>
          <w:ilvl w:val="0"/>
          <w:numId w:val="1027"/>
        </w:numPr>
        <w:pStyle w:val="Compact"/>
      </w:pPr>
      <w:r>
        <w:t xml:space="preserve">le catalogue métier spécifique d’un client ;</w:t>
      </w:r>
    </w:p>
    <w:p>
      <w:pPr>
        <w:numPr>
          <w:ilvl w:val="0"/>
          <w:numId w:val="1027"/>
        </w:numPr>
        <w:pStyle w:val="Compact"/>
      </w:pPr>
      <w:r>
        <w:t xml:space="preserve">les workflows métier propres à un client ;</w:t>
      </w:r>
    </w:p>
    <w:p>
      <w:pPr>
        <w:numPr>
          <w:ilvl w:val="0"/>
          <w:numId w:val="1027"/>
        </w:numPr>
        <w:pStyle w:val="Compact"/>
      </w:pPr>
      <w:r>
        <w:t xml:space="preserve">les règles de pricing propres à un produit lorsqu’elles ne sont pas transverses ;</w:t>
      </w:r>
    </w:p>
    <w:p>
      <w:pPr>
        <w:numPr>
          <w:ilvl w:val="0"/>
          <w:numId w:val="1027"/>
        </w:numPr>
        <w:pStyle w:val="Compact"/>
      </w:pPr>
      <w:r>
        <w:t xml:space="preserve">les processus et l’UI métier spécifiques ;</w:t>
      </w:r>
    </w:p>
    <w:p>
      <w:pPr>
        <w:numPr>
          <w:ilvl w:val="0"/>
          <w:numId w:val="1027"/>
        </w:numPr>
        <w:pStyle w:val="Compact"/>
      </w:pPr>
      <w:r>
        <w:t xml:space="preserve">les modèles métier propres à un secteur.</w:t>
      </w:r>
    </w:p>
    <w:p>
      <w:pPr>
        <w:pStyle w:val="FirstParagraph"/>
      </w:pPr>
      <w:r>
        <w:t xml:space="preserve">Le Core fournit les</w:t>
      </w:r>
      <w:r>
        <w:t xml:space="preserve"> </w:t>
      </w:r>
      <w:r>
        <w:rPr>
          <w:bCs/>
          <w:b/>
        </w:rPr>
        <w:t xml:space="preserve">primitives</w:t>
      </w:r>
      <w:r>
        <w:t xml:space="preserve"> </w:t>
      </w:r>
      <w:r>
        <w:t xml:space="preserve">(paiement, wallet, notification, entitlement…), jamais le domaine métier.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Cs/>
          <w:b/>
        </w:rPr>
        <w:t xml:space="preserve">comité d’architecture</w:t>
      </w:r>
      <w:r>
        <w:t xml:space="preserve"> </w:t>
      </w:r>
      <w:r>
        <w:t xml:space="preserve">et des</w:t>
      </w:r>
      <w:r>
        <w:t xml:space="preserve"> </w:t>
      </w:r>
      <w:r>
        <w:rPr>
          <w:bCs/>
          <w:b/>
        </w:rPr>
        <w:t xml:space="preserve">critères d’entrée</w:t>
      </w:r>
      <w:r>
        <w:t xml:space="preserve"> </w:t>
      </w:r>
      <w:r>
        <w:t xml:space="preserve">décident ce qui peut rejoindre le Core.</w:t>
      </w:r>
    </w:p>
    <w:p>
      <w:r>
        <w:pict>
          <v:rect style="width:0;height:1.5pt" o:hralign="center" o:hrstd="t" o:hr="t"/>
        </w:pict>
      </w:r>
    </w:p>
    <w:bookmarkEnd w:id="62"/>
    <w:bookmarkStart w:id="63" w:name="Xa280237aca08e5371e62d673302fa50e57e70d2"/>
    <w:p>
      <w:pPr>
        <w:pStyle w:val="Heading1"/>
      </w:pPr>
      <w:r>
        <w:t xml:space="preserve">10. Exigences non-fonctionnelles (exprimées côté métier)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Disponibilité</w:t>
      </w:r>
      <w:r>
        <w:t xml:space="preserve"> </w:t>
      </w:r>
      <w:r>
        <w:t xml:space="preserve">: chemin de paiement visé à 99,9 % ; dégradation gracieuse si un provider tombe (bascule/rejet propre, jamais de double débit).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Traçabilité</w:t>
      </w:r>
      <w:r>
        <w:t xml:space="preserve"> </w:t>
      </w:r>
      <w:r>
        <w:t xml:space="preserve">: toute opération sensible est explicable et corrélable de bout en bout.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Sécurité</w:t>
      </w:r>
      <w:r>
        <w:t xml:space="preserve"> </w:t>
      </w:r>
      <w:r>
        <w:t xml:space="preserve">: moindre privilège, isolation stricte entre organisations/projets, secrets jamais en clair, signatures de webhooks, rate limiting.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Évolutivité</w:t>
      </w:r>
      <w:r>
        <w:t xml:space="preserve"> </w:t>
      </w:r>
      <w:r>
        <w:t xml:space="preserve">: ajouter un provider, un canal de notification ou un plan ne doit pas impacter les applications existantes.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Réversibilité</w:t>
      </w:r>
      <w:r>
        <w:t xml:space="preserve"> </w:t>
      </w:r>
      <w:r>
        <w:t xml:space="preserve">: un produit peut cesser d’utiliser une capacité sans casser les autres.</w:t>
      </w:r>
    </w:p>
    <w:p>
      <w:r>
        <w:pict>
          <v:rect style="width:0;height:1.5pt" o:hralign="center" o:hrstd="t" o:hr="t"/>
        </w:pict>
      </w:r>
    </w:p>
    <w:bookmarkEnd w:id="63"/>
    <w:bookmarkStart w:id="64" w:name="critères-dacceptation-du-mvp"/>
    <w:p>
      <w:pPr>
        <w:pStyle w:val="Heading1"/>
      </w:pPr>
      <w:r>
        <w:t xml:space="preserve">11. Critères d’acceptation du MVP</w:t>
      </w:r>
    </w:p>
    <w:p>
      <w:pPr>
        <w:pStyle w:val="FirstParagraph"/>
      </w:pPr>
      <w:r>
        <w:t xml:space="preserve">Le MVP est considéré comme réussi lorsque :</w:t>
      </w:r>
    </w:p>
    <w:p>
      <w:pPr>
        <w:numPr>
          <w:ilvl w:val="0"/>
          <w:numId w:val="1029"/>
        </w:numPr>
        <w:pStyle w:val="Compact"/>
      </w:pPr>
      <w:r>
        <w:t xml:space="preserve">Une application interne peut créer une Organization, un Project et générer des credentials sandbox/live.</w:t>
      </w:r>
    </w:p>
    <w:p>
      <w:pPr>
        <w:numPr>
          <w:ilvl w:val="0"/>
          <w:numId w:val="1029"/>
        </w:numPr>
        <w:pStyle w:val="Compact"/>
      </w:pPr>
      <w:r>
        <w:t xml:space="preserve">Cette application peut initier un paiement (MTN MoMo et Orange Money, XAF, Cameroun)</w:t>
      </w:r>
      <w:r>
        <w:t xml:space="preserve"> </w:t>
      </w:r>
      <w:r>
        <w:rPr>
          <w:bCs/>
          <w:b/>
        </w:rPr>
        <w:t xml:space="preserve">sans connaître les providers</w:t>
      </w:r>
      <w:r>
        <w:t xml:space="preserve">, uniquement via l’API du Core.</w:t>
      </w:r>
    </w:p>
    <w:p>
      <w:pPr>
        <w:numPr>
          <w:ilvl w:val="0"/>
          <w:numId w:val="1029"/>
        </w:numPr>
        <w:pStyle w:val="Compact"/>
      </w:pPr>
      <w:r>
        <w:t xml:space="preserve">Le Core calcule et applique des frais configurés par règle, et historise la règle appliquée.</w:t>
      </w:r>
    </w:p>
    <w:p>
      <w:pPr>
        <w:numPr>
          <w:ilvl w:val="0"/>
          <w:numId w:val="1029"/>
        </w:numPr>
        <w:pStyle w:val="Compact"/>
      </w:pPr>
      <w:r>
        <w:t xml:space="preserve">Les écritures financières sont enregistrées au ledger, avec solde matérialisé cohérent et idempotence vérifiée.</w:t>
      </w:r>
    </w:p>
    <w:p>
      <w:pPr>
        <w:numPr>
          <w:ilvl w:val="0"/>
          <w:numId w:val="1029"/>
        </w:numPr>
        <w:pStyle w:val="Compact"/>
      </w:pPr>
      <w:r>
        <w:t xml:space="preserve">Un webhook signé</w:t>
      </w:r>
      <w:r>
        <w:t xml:space="preserve"> </w:t>
      </w:r>
      <w:r>
        <w:rPr>
          <w:rStyle w:val="VerbatimChar"/>
        </w:rPr>
        <w:t xml:space="preserve">payment.completed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est reçu par l’application, avec retry en cas d’échec.</w:t>
      </w:r>
    </w:p>
    <w:p>
      <w:pPr>
        <w:numPr>
          <w:ilvl w:val="0"/>
          <w:numId w:val="1029"/>
        </w:numPr>
        <w:pStyle w:val="Compact"/>
      </w:pPr>
      <w:r>
        <w:t xml:space="preserve">Un wallet peut être créé lazy pour un Party et crédité/débité de façon cohérente.</w:t>
      </w:r>
    </w:p>
    <w:p>
      <w:pPr>
        <w:numPr>
          <w:ilvl w:val="0"/>
          <w:numId w:val="1029"/>
        </w:numPr>
        <w:pStyle w:val="Compact"/>
      </w:pPr>
      <w:r>
        <w:t xml:space="preserve">Ajouter un second provider ne nécessite</w:t>
      </w:r>
      <w:r>
        <w:t xml:space="preserve"> </w:t>
      </w:r>
      <w:r>
        <w:rPr>
          <w:bCs/>
          <w:b/>
        </w:rPr>
        <w:t xml:space="preserve">aucune modification</w:t>
      </w:r>
      <w:r>
        <w:t xml:space="preserve"> </w:t>
      </w:r>
      <w:r>
        <w:t xml:space="preserve">des applications consommatrices.</w:t>
      </w:r>
    </w:p>
    <w:p>
      <w:pPr>
        <w:numPr>
          <w:ilvl w:val="0"/>
          <w:numId w:val="1029"/>
        </w:numPr>
        <w:pStyle w:val="Compact"/>
      </w:pPr>
      <w:r>
        <w:t xml:space="preserve">Toutes les opérations sensibles apparaissent dans l’audit, corrélées par identifiant.</w:t>
      </w:r>
    </w:p>
    <w:p>
      <w:pPr>
        <w:numPr>
          <w:ilvl w:val="0"/>
          <w:numId w:val="1029"/>
        </w:numPr>
        <w:pStyle w:val="Compact"/>
      </w:pPr>
      <w:r>
        <w:t xml:space="preserve">Un scénario de migration en shadow mode démontre la cohérence entre ancienne et nouvelle implémentation avant bascule.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 la Spécification Fonctionnelle — Version 1.0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Core System — Spécification Fonctionnelle</dc:title>
  <dc:creator>Architecture / Conseil logiciel</dc:creator>
  <cp:keywords/>
  <dcterms:created xsi:type="dcterms:W3CDTF">2026-09-14T13:30:20Z</dcterms:created>
  <dcterms:modified xsi:type="dcterms:W3CDTF">2026-09-14T13:30:20Z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Septembre 2026</vt:lpwstr>
  </property>
</Properties>
</file>