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Enterprise</w:t>
      </w:r>
      <w:r>
        <w:t xml:space="preserve"> </w:t>
      </w:r>
      <w:r>
        <w:t xml:space="preserve">Core</w:t>
      </w:r>
      <w:r>
        <w:t xml:space="preserve"> </w:t>
      </w:r>
      <w:r>
        <w:t xml:space="preserve">System</w:t>
      </w:r>
      <w:r>
        <w:t xml:space="preserve"> </w:t>
      </w:r>
      <w:r>
        <w:t xml:space="preserve">—</w:t>
      </w:r>
      <w:r>
        <w:t xml:space="preserve"> </w:t>
      </w:r>
      <w:r>
        <w:t xml:space="preserve">Spécification</w:t>
      </w:r>
      <w:r>
        <w:t xml:space="preserve"> </w:t>
      </w:r>
      <w:r>
        <w:t xml:space="preserve">Technique</w:t>
      </w:r>
    </w:p>
    <w:p>
      <w:pPr>
        <w:pStyle w:val="Author"/>
      </w:pPr>
      <w:r>
        <w:t xml:space="preserve">Architecture</w:t>
      </w:r>
      <w:r>
        <w:t xml:space="preserve"> </w:t>
      </w:r>
      <w:r>
        <w:t xml:space="preserve">/</w:t>
      </w:r>
      <w:r>
        <w:t xml:space="preserve"> </w:t>
      </w:r>
      <w:r>
        <w:t xml:space="preserve">Conseil</w:t>
      </w:r>
      <w:r>
        <w:t xml:space="preserve"> </w:t>
      </w:r>
      <w:r>
        <w:t xml:space="preserve">logiciel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—</w:t>
      </w:r>
      <w:r>
        <w:t xml:space="preserve"> </w:t>
      </w:r>
      <w:r>
        <w:t xml:space="preserve">Septembre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vue-densemble-de-larchitecture"/>
    <w:p>
      <w:pPr>
        <w:pStyle w:val="Heading1"/>
      </w:pPr>
      <w:r>
        <w:t xml:space="preserve">1. Vue d’ensemble de l’architecture</w:t>
      </w:r>
    </w:p>
    <w:p>
      <w:pPr>
        <w:pStyle w:val="FirstParagraph"/>
      </w:pPr>
      <w:r>
        <w:t xml:space="preserve">L’Enterprise Core System est un</w:t>
      </w:r>
      <w:r>
        <w:t xml:space="preserve"> </w:t>
      </w:r>
      <w:r>
        <w:rPr>
          <w:bCs/>
          <w:b/>
        </w:rPr>
        <w:t xml:space="preserve">modular monolith</w:t>
      </w:r>
      <w:r>
        <w:t xml:space="preserve"> </w:t>
      </w:r>
      <w:r>
        <w:t xml:space="preserve">Laravel, structuré en</w:t>
      </w:r>
      <w:r>
        <w:t xml:space="preserve"> </w:t>
      </w:r>
      <w:r>
        <w:rPr>
          <w:bCs/>
          <w:b/>
        </w:rPr>
        <w:t xml:space="preserve">bounded contexts</w:t>
      </w:r>
      <w:r>
        <w:t xml:space="preserve"> </w:t>
      </w:r>
      <w:r>
        <w:t xml:space="preserve">faiblement couplés, exposant des</w:t>
      </w:r>
      <w:r>
        <w:t xml:space="preserve"> </w:t>
      </w:r>
      <w:r>
        <w:rPr>
          <w:bCs/>
          <w:b/>
        </w:rPr>
        <w:t xml:space="preserve">API REST versionnées</w:t>
      </w:r>
      <w:r>
        <w:t xml:space="preserve"> </w:t>
      </w:r>
      <w:r>
        <w:t xml:space="preserve">et communiquant en interne par</w:t>
      </w:r>
      <w:r>
        <w:t xml:space="preserve"> </w:t>
      </w:r>
      <w:r>
        <w:rPr>
          <w:bCs/>
          <w:b/>
        </w:rPr>
        <w:t xml:space="preserve">événements</w:t>
      </w:r>
      <w:r>
        <w:t xml:space="preserve"> </w:t>
      </w:r>
      <w:r>
        <w:t xml:space="preserve">via un</w:t>
      </w:r>
      <w:r>
        <w:t xml:space="preserve"> </w:t>
      </w:r>
      <w:r>
        <w:rPr>
          <w:bCs/>
          <w:b/>
        </w:rPr>
        <w:t xml:space="preserve">transactional outbox</w:t>
      </w:r>
      <w:r>
        <w:t xml:space="preserve">. Les intégrations externes (paiement, notification) suivent une architecture</w:t>
      </w:r>
      <w:r>
        <w:t xml:space="preserve"> </w:t>
      </w:r>
      <w:r>
        <w:rPr>
          <w:bCs/>
          <w:b/>
        </w:rPr>
        <w:t xml:space="preserve">Ports &amp; Adapters (hexagonale)</w:t>
      </w:r>
      <w:r>
        <w:t xml:space="preserve"> </w:t>
      </w:r>
      <w:r>
        <w:t xml:space="preserve">: le cœur ne connaît que des interfaces (ports), et chaque provider est un adaptateur interchangeable.</w:t>
      </w:r>
    </w:p>
    <w:p>
      <w:pPr>
        <w:pStyle w:val="BodyText"/>
      </w:pPr>
      <w:r>
        <w:t xml:space="preserve">Trois propriétés non négociables gouvernent la conception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Découplage des applications consommatrices</w:t>
      </w:r>
      <w:r>
        <w:t xml:space="preserve"> </w:t>
      </w:r>
      <w:r>
        <w:t xml:space="preserve">— elles n’appellent que les API stables du Core ; elles ignorent tout des providers. Ajouter ou remplacer un provider ne touche jamais une application métier.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Intégrité financière</w:t>
      </w:r>
      <w:r>
        <w:t xml:space="preserve"> </w:t>
      </w:r>
      <w:r>
        <w:t xml:space="preserve">— ledger immuable, idempotence par défaut, opérations monétaires atomiques.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Extraction progressive</w:t>
      </w:r>
      <w:r>
        <w:t xml:space="preserve"> </w:t>
      </w:r>
      <w:r>
        <w:t xml:space="preserve">— les frontières sont assez nettes pour extraire un module en service indépendant plus tard, sans réécriture.</w:t>
      </w:r>
    </w:p>
    <w:p>
      <w:pPr>
        <w:pStyle w:val="FirstParagraph"/>
      </w:pPr>
      <w:r>
        <w:t xml:space="preserve">Le choix du modular monolith plutôt que d’un maillage de microservices dès le départ évite un coût opérationnel prématuré tout en préservant la capacité d’extraction. Pour la volumétrie an 1 visée (&lt; 10 produits, quelques milliers de transactions/jour), un monolithe modulaire large et bien structuré est le bon compromis.</w:t>
      </w:r>
    </w:p>
    <w:p>
      <w:r>
        <w:pict>
          <v:rect style="width:0;height:1.5pt" o:hralign="center" o:hrstd="t" o:hr="t"/>
        </w:pict>
      </w:r>
    </w:p>
    <w:bookmarkEnd w:id="20"/>
    <w:bookmarkStart w:id="21" w:name="décisions-darchitecture-résumé"/>
    <w:p>
      <w:pPr>
        <w:pStyle w:val="Heading1"/>
      </w:pPr>
      <w:r>
        <w:t xml:space="preserve">2. Décisions d’architecture (résumé)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monolith Laravel 11 / PHP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opérationnel maîtrisé, extraction progressive possible.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contexts en packages Composer internes (path repositories)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Frontières fortes sans surcoût microservices ; vérifiées par Deptrac.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comme base transactionnelle et financière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Contraintes fortes,</w:t>
            </w:r>
            <w:r>
              <w:t xml:space="preserve"> </w:t>
            </w:r>
            <w:r>
              <w:rPr>
                <w:rStyle w:val="VerbatimChar"/>
              </w:rPr>
              <w:t xml:space="preserve">numeric</w:t>
            </w:r>
            <w:r>
              <w:t xml:space="preserve">, exclusion constraints, verrous de ligne.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Montants en entiers (minor units,</w:t>
            </w:r>
            <w:r>
              <w:t xml:space="preserve"> </w:t>
            </w:r>
            <w:r>
              <w:rPr>
                <w:rStyle w:val="VerbatimChar"/>
              </w:rPr>
              <w:t xml:space="preserve">bigint</w:t>
            </w:r>
            <w:r>
              <w:t xml:space="preserve">) + code devise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Élimine les erreurs de virgule flottante ; multi-devises propre.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double-entrée immuable, solde matérialisé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de vérité financière auditable ; cohérence stricte.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Concurrence wallet par verrou pessimiste + append atomique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simple et robuste à la volumétrie visée.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Ports &amp; Adapters pour paiement ET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Providers interchangeables sans impact sur les apps métier.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outbox pour les événements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état/événement ; pas de perte de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signés sortants avec retry/backoff/DLQ/replay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fiable des applications consommatrices.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Sanctum (first-party/admin) + Passport OAuth2 (externes)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 besoins d’auth distincts, outillage Laravel natif.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Horizon pour queues, cache, 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Laravel, observabilité des files intégrée.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Idempotency-Key sur toute mutation monétaire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Rejeu sûr, pas de double effet.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+ logs structurés + correlation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 de bout en bout.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Tenancy par base partagée + scoping</w:t>
            </w:r>
            <w:r>
              <w:t xml:space="preserve"> </w:t>
            </w:r>
            <w:r>
              <w:rPr>
                <w:rStyle w:val="VerbatimChar"/>
              </w:rPr>
              <w:t xml:space="preserve">organization_id</w:t>
            </w:r>
            <w:r>
              <w:t xml:space="preserve">/</w:t>
            </w: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Simplicité ; extraction en base dédiée possible pour gros client.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différé (post-modular-monolith)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N’introduire un bus durable qu’à l’extraction en services.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tack-technique"/>
    <w:p>
      <w:pPr>
        <w:pStyle w:val="Heading1"/>
      </w:pPr>
      <w:r>
        <w:t xml:space="preserve">3. Stack technique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Langage /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8.3, Laravel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/ files / 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 + Laravel Horizon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Sanctum (first-party, admin), Laravel Passport (OAuth2 clients externes)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brick/money</w:t>
            </w:r>
            <w:r>
              <w:t xml:space="preserve"> </w:t>
            </w:r>
            <w:r>
              <w:t xml:space="preserve">(calcul), stockage</w:t>
            </w:r>
            <w:r>
              <w:t xml:space="preserve"> </w:t>
            </w:r>
            <w:r>
              <w:rPr>
                <w:rStyle w:val="VerbatimChar"/>
              </w:rPr>
              <w:t xml:space="preserve">bigint</w:t>
            </w:r>
            <w:r>
              <w:t xml:space="preserve"> </w:t>
            </w:r>
            <w:r>
              <w:t xml:space="preserve">minor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/ contrats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OpenAPI 3.1 (généré et versionné), erreurs RFC 7807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Événements Laravel + transactional 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Livraison signée (HMAC), queue dédiée, DLQ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(SDK AWS)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(traces), Prometheus (metrics), logs JSON structurés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Gestionnaire de secrets de l’infra + chiffrement applicatif au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Deptrac (règles d’architecture en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de contrat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Pact (ou équivalent) entre Core et consommateurs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avec environnements séparés (sandbox/staging/live)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écoupage-en-bounded-contexts"/>
    <w:p>
      <w:pPr>
        <w:pStyle w:val="Heading1"/>
      </w:pPr>
      <w:r>
        <w:t xml:space="preserve">4. Découpage en bounded contexts</w:t>
      </w:r>
    </w:p>
    <w:p>
      <w:pPr>
        <w:pStyle w:val="FirstParagraph"/>
      </w:pPr>
      <w:r>
        <w:t xml:space="preserve">Chaque contexte est un package Composer interne (</w:t>
      </w:r>
      <w:r>
        <w:rPr>
          <w:rStyle w:val="VerbatimChar"/>
        </w:rPr>
        <w:t xml:space="preserve">packages/&lt;context&gt;</w:t>
      </w:r>
      <w:r>
        <w:t xml:space="preserve">), avec son namespace, ses migrations, ses modèles, ses services applicatifs et son API. Les contextes ne s’appellent qu’à travers des</w:t>
      </w:r>
      <w:r>
        <w:t xml:space="preserve"> </w:t>
      </w:r>
      <w:r>
        <w:rPr>
          <w:bCs/>
          <w:b/>
        </w:rPr>
        <w:t xml:space="preserve">interfaces publiques</w:t>
      </w:r>
      <w:r>
        <w:t xml:space="preserve"> </w:t>
      </w:r>
      <w:r>
        <w:t xml:space="preserve">et des</w:t>
      </w:r>
      <w:r>
        <w:t xml:space="preserve"> </w:t>
      </w:r>
      <w:r>
        <w:rPr>
          <w:bCs/>
          <w:b/>
        </w:rPr>
        <w:t xml:space="preserve">événements</w:t>
      </w:r>
      <w:r>
        <w:t xml:space="preserve"> </w:t>
      </w:r>
      <w:r>
        <w:t xml:space="preserve">— jamais en accédant directement aux tables d’un autre contexte.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Organizations, Projects, API keys, OAuth clients, opérateurs, RBAC.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Références d’acteurs (Party) et rattachements.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Écritures immuables, comptes, soldes matérialisés.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Wallets, dépôts/retraits/transferts/holds, adossés au Ledger.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intents, orchestration, providers, refunds.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 de frais et commissions, règles, simulation.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Plans, souscriptions, entitlements, usage.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 multi-canal (email/SMS/WhatsApp/push/in-app), templates, providers.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Fichiers, médias, signed URLs.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des opérations sensibles.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consommateurs, livraison signée, retries, replay.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d’événements, outbox, dispatch.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DeveloperPlatform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Gateway, scopes, quotas, portail, OpenAPI, SDK.</w:t>
            </w:r>
          </w:p>
        </w:tc>
      </w:tr>
    </w:tbl>
    <w:p>
      <w:pPr>
        <w:pStyle w:val="BodyText"/>
      </w:pPr>
      <w:r>
        <w:t xml:space="preserve">Règle Deptrac :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Fees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 </w:t>
      </w:r>
      <w:r>
        <w:t xml:space="preserve">peuvent dépendre de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; l’inverse est interdit. Aucun module ne dépend d’un adaptateur provider concret.</w:t>
      </w:r>
    </w:p>
    <w:p>
      <w:r>
        <w:pict>
          <v:rect style="width:0;height:1.5pt" o:hralign="center" o:hrstd="t" o:hr="t"/>
        </w:pict>
      </w:r>
    </w:p>
    <w:bookmarkEnd w:id="23"/>
    <w:bookmarkStart w:id="27" w:name="modèle-didentité-technique"/>
    <w:p>
      <w:pPr>
        <w:pStyle w:val="Heading1"/>
      </w:pPr>
      <w:r>
        <w:t xml:space="preserve">5. Modèle d’identité (technique)</w:t>
      </w:r>
    </w:p>
    <w:bookmarkStart w:id="24" w:name="trois-plans"/>
    <w:p>
      <w:pPr>
        <w:pStyle w:val="Heading2"/>
      </w:pPr>
      <w:r>
        <w:t xml:space="preserve">5.1 Trois plans</w:t>
      </w:r>
    </w:p>
    <w:p>
      <w:pPr>
        <w:pStyle w:val="FirstParagraph"/>
      </w:pPr>
      <w:r>
        <w:rPr>
          <w:bCs/>
          <w:b/>
        </w:rPr>
        <w:t xml:space="preserve">Plan 1 — Opérateurs plateforme.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VerbatimChar"/>
        </w:rPr>
        <w:t xml:space="preserve">operators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, auth Sanctum, MFA (TOTP), RBAC (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operator_roles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Plan 2 — Identité machine (applications).</w:t>
      </w:r>
      <w:r>
        <w:t xml:space="preserve"> </w:t>
      </w:r>
      <w:r>
        <w:t xml:space="preserve">Chaque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porte :</w:t>
      </w:r>
    </w:p>
    <w:p>
      <w:pPr>
        <w:numPr>
          <w:ilvl w:val="0"/>
          <w:numId w:val="1002"/>
        </w:numPr>
        <w:pStyle w:val="Compact"/>
      </w:pPr>
      <w:r>
        <w:t xml:space="preserve">des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(hash stocké, jamais le secret en clair ; préfixe visible pour identification) ;</w:t>
      </w:r>
    </w:p>
    <w:p>
      <w:pPr>
        <w:numPr>
          <w:ilvl w:val="0"/>
          <w:numId w:val="1002"/>
        </w:numPr>
        <w:pStyle w:val="Compact"/>
      </w:pPr>
      <w:r>
        <w:t xml:space="preserve">des</w:t>
      </w:r>
      <w:r>
        <w:t xml:space="preserve"> </w:t>
      </w:r>
      <w:r>
        <w:rPr>
          <w:rStyle w:val="VerbatimChar"/>
        </w:rPr>
        <w:t xml:space="preserve">oauth_clients</w:t>
      </w:r>
      <w:r>
        <w:t xml:space="preserve"> </w:t>
      </w:r>
      <w:r>
        <w:t xml:space="preserve">(Passport) avec scopes ;</w:t>
      </w:r>
    </w:p>
    <w:p>
      <w:pPr>
        <w:numPr>
          <w:ilvl w:val="0"/>
          <w:numId w:val="1002"/>
        </w:numPr>
        <w:pStyle w:val="Compact"/>
      </w:pPr>
      <w:r>
        <w:t xml:space="preserve">un flag d’environnement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par credential.</w:t>
      </w:r>
    </w:p>
    <w:p>
      <w:pPr>
        <w:pStyle w:val="FirstParagraph"/>
      </w:pPr>
      <w:r>
        <w:t xml:space="preserve">Requête entrante → middleware résout le Project, l’environnement, les scopes, et pose le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Plan 3 — Parties.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 </w:t>
      </w:r>
      <w:r>
        <w:t xml:space="preserve">légère (voir §6.3). Pas d’authentification end-user. Le produit agit « on-behalf-of » un Party en passant son</w:t>
      </w:r>
      <w:r>
        <w:t xml:space="preserve"> </w:t>
      </w:r>
      <w:r>
        <w:rPr>
          <w:rStyle w:val="VerbatimChar"/>
        </w:rPr>
        <w:t xml:space="preserve">external_ref</w:t>
      </w:r>
      <w:r>
        <w:t xml:space="preserve">.</w:t>
      </w:r>
    </w:p>
    <w:bookmarkEnd w:id="24"/>
    <w:bookmarkStart w:id="25" w:name="assertion-on-behalf-of"/>
    <w:p>
      <w:pPr>
        <w:pStyle w:val="Heading2"/>
      </w:pPr>
      <w:r>
        <w:t xml:space="preserve">5.2 Assertion « on-behalf-of »</w:t>
      </w:r>
    </w:p>
    <w:p>
      <w:pPr>
        <w:pStyle w:val="FirstParagraph"/>
      </w:pPr>
      <w:r>
        <w:t xml:space="preserve">Deux niveaux d’assurance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Standard</w:t>
      </w:r>
      <w:r>
        <w:t xml:space="preserve"> </w:t>
      </w:r>
      <w:r>
        <w:t xml:space="preserve">: le Project (authentifié et scopé) affirme agir pour</w:t>
      </w:r>
      <w:r>
        <w:t xml:space="preserve"> </w:t>
      </w:r>
      <w:r>
        <w:rPr>
          <w:rStyle w:val="VerbatimChar"/>
        </w:rPr>
        <w:t xml:space="preserve">external_ref = X</w:t>
      </w:r>
      <w:r>
        <w:t xml:space="preserve">. Le Core fait confiance au Project. Suffisant pour la majorité des cas.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Renforcé (optionnel)</w:t>
      </w:r>
      <w:r>
        <w:t xml:space="preserve"> </w:t>
      </w:r>
      <w:r>
        <w:t xml:space="preserve">: le produit joint un</w:t>
      </w:r>
      <w:r>
        <w:t xml:space="preserve"> </w:t>
      </w:r>
      <w:r>
        <w:rPr>
          <w:bCs/>
          <w:b/>
        </w:rPr>
        <w:t xml:space="preserve">jeton signé</w:t>
      </w:r>
      <w:r>
        <w:t xml:space="preserve"> </w:t>
      </w:r>
      <w:r>
        <w:t xml:space="preserve">(JWT court, signé avec une clé du Project) attestant l’identité de l’utilisateur final. Utile pour les opérations sensibles où l’on veut une preuve côté produit.</w:t>
      </w:r>
    </w:p>
    <w:bookmarkEnd w:id="25"/>
    <w:bookmarkStart w:id="26" w:name="idp-embarqué-optionnel"/>
    <w:p>
      <w:pPr>
        <w:pStyle w:val="Heading2"/>
      </w:pPr>
      <w:r>
        <w:t xml:space="preserve">5.3 IdP embarqué optionnel</w:t>
      </w:r>
    </w:p>
    <w:p>
      <w:pPr>
        <w:pStyle w:val="FirstParagraph"/>
      </w:pPr>
      <w:r>
        <w:t xml:space="preserve">Un Project peut activer un IdP OIDC hébergé par le Core (Passport en mode Authorization Code + PKCE). Opt-in, désactivé par défaut. Dans ce cas seulement, le Core détient des identités end-user pour ce Project précis.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modèle-de-données"/>
    <w:p>
      <w:pPr>
        <w:pStyle w:val="Heading1"/>
      </w:pPr>
      <w:r>
        <w:t xml:space="preserve">6. Modèle de données</w:t>
      </w:r>
    </w:p>
    <w:p>
      <w:pPr>
        <w:pStyle w:val="FirstParagraph"/>
      </w:pPr>
      <w:r>
        <w:t xml:space="preserve">Les extraits DDL ci-dessous sont indicatifs (PostgreSQL) et ciblent les tables structurantes. Toutes les tables métier portent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et/ou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 et un scope global applicatif.</w:t>
      </w:r>
    </w:p>
    <w:bookmarkStart w:id="28" w:name="identity"/>
    <w:p>
      <w:pPr>
        <w:pStyle w:val="Heading2"/>
      </w:pPr>
      <w:r>
        <w:t xml:space="preserve">6.1 Identity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api_keys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environment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(environment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'sandbox'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prefix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partie visible, ex: pk_live_ab12</w:t>
      </w:r>
      <w:r>
        <w:br/>
      </w:r>
      <w:r>
        <w:rPr>
          <w:rStyle w:val="NormalTok"/>
        </w:rPr>
        <w:t xml:space="preserve">  key_hash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hash du secret, jamais le secret</w:t>
      </w:r>
      <w:r>
        <w:br/>
      </w:r>
      <w:r>
        <w:rPr>
          <w:rStyle w:val="NormalTok"/>
        </w:rPr>
        <w:t xml:space="preserve">  scopes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revoked_at    timestamptz,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(prefix)</w:t>
      </w:r>
      <w:r>
        <w:br/>
      </w:r>
      <w:r>
        <w:rPr>
          <w:rStyle w:val="NormalTok"/>
        </w:rPr>
        <w:t xml:space="preserve">);</w:t>
      </w:r>
    </w:p>
    <w:bookmarkEnd w:id="28"/>
    <w:bookmarkStart w:id="29" w:name="currencies"/>
    <w:p>
      <w:pPr>
        <w:pStyle w:val="Heading2"/>
      </w:pPr>
      <w:r>
        <w:t xml:space="preserve">6.2 Currencies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currencies (</w:t>
      </w:r>
      <w:r>
        <w:br/>
      </w:r>
      <w:r>
        <w:rPr>
          <w:rStyle w:val="NormalTok"/>
        </w:rPr>
        <w:t xml:space="preserve">  code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'XAF', 'USD'</w:t>
      </w:r>
      <w:r>
        <w:br/>
      </w:r>
      <w:r>
        <w:rPr>
          <w:rStyle w:val="NormalTok"/>
        </w:rPr>
        <w:t xml:space="preserve">  exponent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XAF = 0, USD = 2</w:t>
      </w:r>
      <w:r>
        <w:br/>
      </w:r>
      <w:r>
        <w:rPr>
          <w:rStyle w:val="NormalTok"/>
        </w:rPr>
        <w:t xml:space="preserve">);</w:t>
      </w:r>
    </w:p>
    <w:bookmarkEnd w:id="29"/>
    <w:bookmarkStart w:id="30" w:name="parties-wallets"/>
    <w:p>
      <w:pPr>
        <w:pStyle w:val="Heading2"/>
      </w:pPr>
      <w:r>
        <w:t xml:space="preserve">6.3 Parties &amp; Wallets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external_ref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id de l'utilisateur DANS le produit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customer, end_user, merchant, agent...</w:t>
      </w:r>
      <w:r>
        <w:br/>
      </w:r>
      <w:r>
        <w:rPr>
          <w:rStyle w:val="NormalTok"/>
        </w:rPr>
        <w:t xml:space="preserve">  kyc_status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minimal, jamais de PII imposée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(project_id, external_ref)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wallets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party_id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currencies(code),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(party_id, currency)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Solde matérialisé : une ligne par wallet, mise à jour dans la même</w:t>
      </w:r>
      <w:r>
        <w:br/>
      </w:r>
      <w:r>
        <w:rPr>
          <w:rStyle w:val="CommentTok"/>
        </w:rPr>
        <w:t xml:space="preserve">-- transaction que les écritures ledger, protégée par verrou de ligne.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wallet_balances (</w:t>
      </w:r>
      <w:r>
        <w:br/>
      </w:r>
      <w:r>
        <w:rPr>
          <w:rStyle w:val="NormalTok"/>
        </w:rPr>
        <w:t xml:space="preserve">  wallet_id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wallets(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available_minor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disponible</w:t>
      </w:r>
      <w:r>
        <w:br/>
      </w:r>
      <w:r>
        <w:rPr>
          <w:rStyle w:val="NormalTok"/>
        </w:rPr>
        <w:t xml:space="preserve">  held_minor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réservé (holds)</w:t>
      </w:r>
      <w:r>
        <w:br/>
      </w:r>
      <w:r>
        <w:rPr>
          <w:rStyle w:val="NormalTok"/>
        </w:rPr>
        <w:t xml:space="preserve">  version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pour verrou optimiste de secours</w:t>
      </w:r>
      <w:r>
        <w:br/>
      </w:r>
      <w:r>
        <w:rPr>
          <w:rStyle w:val="NormalTok"/>
        </w:rPr>
        <w:t xml:space="preserve">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(available_minor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(held_minor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0"/>
    <w:bookmarkStart w:id="31" w:name="ledger-double-entrée-immuable"/>
    <w:p>
      <w:pPr>
        <w:pStyle w:val="Heading2"/>
      </w:pPr>
      <w:r>
        <w:t xml:space="preserve">6.4 Ledger (double-entrée immuable)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ledger_accounts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kind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wallet, platform_fee, provider_fee, clearing...</w:t>
      </w:r>
      <w:r>
        <w:br/>
      </w:r>
      <w:r>
        <w:rPr>
          <w:rStyle w:val="NormalTok"/>
        </w:rPr>
        <w:t xml:space="preserve">  reference   text,                   </w:t>
      </w:r>
      <w:r>
        <w:rPr>
          <w:rStyle w:val="CommentTok"/>
        </w:rPr>
        <w:t xml:space="preserve">-- ex: wallet_id, ou compte système</w:t>
      </w:r>
      <w:r>
        <w:br/>
      </w:r>
      <w:r>
        <w:rPr>
          <w:rStyle w:val="NormalTok"/>
        </w:rPr>
        <w:t xml:space="preserve">  currency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currencies(code),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ledger_transactions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payment, payout, transfer, fee...</w:t>
      </w:r>
      <w:r>
        <w:br/>
      </w:r>
      <w:r>
        <w:rPr>
          <w:rStyle w:val="NormalTok"/>
        </w:rPr>
        <w:t xml:space="preserve">  external_ref  text,                 </w:t>
      </w:r>
      <w:r>
        <w:rPr>
          <w:rStyle w:val="CommentTok"/>
        </w:rPr>
        <w:t xml:space="preserve">-- rattachement métier (ex: payment_intent_id)</w:t>
      </w:r>
      <w:r>
        <w:br/>
      </w:r>
      <w:r>
        <w:rPr>
          <w:rStyle w:val="NormalTok"/>
        </w:rPr>
        <w:t xml:space="preserve">  idempotency_key text,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(project_id, idempotency_key)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Écritures immuables. Somme des entries d'une transaction = 0 (équilibre).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ledger_entries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transaction_id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ledger_transactions(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account_id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ledger_accounts(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direction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(direction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'debit'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amount_minor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(amount_minor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currencies(code),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ledger_entries (account_id);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ledger_entries (transaction_id);</w:t>
      </w:r>
    </w:p>
    <w:p>
      <w:pPr>
        <w:pStyle w:val="FirstParagraph"/>
      </w:pPr>
      <w:r>
        <w:t xml:space="preserve">L’équilibre (somme des crédits = somme des débits par transaction) est vérifié applicativement au sein de la transaction et peut être renforcé par un trigger de contrôle. Les</w:t>
      </w:r>
      <w:r>
        <w:t xml:space="preserve"> </w:t>
      </w:r>
      <w:r>
        <w:rPr>
          <w:rStyle w:val="VerbatimChar"/>
        </w:rPr>
        <w:t xml:space="preserve">ledger_entries</w:t>
      </w:r>
      <w:r>
        <w:t xml:space="preserve"> </w:t>
      </w:r>
      <w:r>
        <w:t xml:space="preserve">ne sont jamais mises à jour ni supprimées ; une correction est une nouvelle transaction compensatoire.</w:t>
      </w:r>
    </w:p>
    <w:bookmarkEnd w:id="31"/>
    <w:bookmarkStart w:id="32" w:name="payment"/>
    <w:p>
      <w:pPr>
        <w:pStyle w:val="Heading2"/>
      </w:pPr>
      <w:r>
        <w:t xml:space="preserve">6.5 Payment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payment_intents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environment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(environment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'sandbox'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amount_minor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(amount_minor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currencies(code),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mtn_momo, orange_money, card...</w:t>
      </w:r>
      <w:r>
        <w:br/>
      </w:r>
      <w:r>
        <w:rPr>
          <w:rStyle w:val="NormalTok"/>
        </w:rPr>
        <w:t xml:space="preserve">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canonical (voir §9.4)</w:t>
      </w:r>
      <w:r>
        <w:br/>
      </w:r>
      <w:r>
        <w:rPr>
          <w:rStyle w:val="NormalTok"/>
        </w:rPr>
        <w:t xml:space="preserve">  external_ref    text,                </w:t>
      </w:r>
      <w:r>
        <w:rPr>
          <w:rStyle w:val="CommentTok"/>
        </w:rPr>
        <w:t xml:space="preserve">-- référence produit</w:t>
      </w:r>
      <w:r>
        <w:br/>
      </w:r>
      <w:r>
        <w:rPr>
          <w:rStyle w:val="NormalTok"/>
        </w:rPr>
        <w:t xml:space="preserve">  idempotency_key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(project_id, idempotency_key)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provider_transactions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payment_intent_id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payment_intents(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provider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mtn, orange...</w:t>
      </w:r>
      <w:r>
        <w:br/>
      </w:r>
      <w:r>
        <w:rPr>
          <w:rStyle w:val="NormalTok"/>
        </w:rPr>
        <w:t xml:space="preserve">  provider_reference text,              </w:t>
      </w:r>
      <w:r>
        <w:rPr>
          <w:rStyle w:val="CommentTok"/>
        </w:rPr>
        <w:t xml:space="preserve">-- id chez le provider</w:t>
      </w:r>
      <w:r>
        <w:br/>
      </w:r>
      <w:r>
        <w:rPr>
          <w:rStyle w:val="NormalTok"/>
        </w:rPr>
        <w:t xml:space="preserve">  raw_status         text,              </w:t>
      </w:r>
      <w:r>
        <w:rPr>
          <w:rStyle w:val="CommentTok"/>
        </w:rPr>
        <w:t xml:space="preserve">-- statut brut provider</w:t>
      </w:r>
      <w:r>
        <w:br/>
      </w:r>
      <w:r>
        <w:rPr>
          <w:rStyle w:val="NormalTok"/>
        </w:rPr>
        <w:t xml:space="preserve">  canonical_status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statut normalisé</w:t>
      </w:r>
      <w:r>
        <w:br/>
      </w:r>
      <w:r>
        <w:rPr>
          <w:rStyle w:val="NormalTok"/>
        </w:rPr>
        <w:t xml:space="preserve">  attempt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fees"/>
    <w:p>
      <w:pPr>
        <w:pStyle w:val="Heading2"/>
      </w:pPr>
      <w:r>
        <w:t xml:space="preserve">6.6 Fees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fee_rules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NULL = règle transverse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conditions: operation, method, country, party_type...</w:t>
      </w:r>
      <w:r>
        <w:br/>
      </w:r>
      <w:r>
        <w:rPr>
          <w:rStyle w:val="NormalTok"/>
        </w:rPr>
        <w:t xml:space="preserve">  calculation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percent, fixed, min, max, combinaison</w:t>
      </w:r>
      <w:r>
        <w:br/>
      </w:r>
      <w:r>
        <w:rPr>
          <w:rStyle w:val="NormalTok"/>
        </w:rPr>
        <w:t xml:space="preserve">  distribution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bénéficiaires: platform, agent, partner...</w:t>
      </w:r>
      <w:r>
        <w:br/>
      </w:r>
      <w:r>
        <w:rPr>
          <w:rStyle w:val="NormalTok"/>
        </w:rPr>
        <w:t xml:space="preserve">  priority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Règle exacte appliquée à une transaction (historisation).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applied_fees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transaction_id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ledger_transactions(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fee_rule_id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fee_rules(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snapshot</w:t>
      </w:r>
      <w:r>
        <w:rPr>
          <w:rStyle w:val="NormalTok"/>
        </w:rPr>
        <w:t xml:space="preserve">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copie figée de la règle au moment de l'application</w:t>
      </w:r>
      <w:r>
        <w:br/>
      </w:r>
      <w:r>
        <w:rPr>
          <w:rStyle w:val="NormalTok"/>
        </w:rPr>
        <w:t xml:space="preserve">  amount_minor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notification"/>
    <w:p>
      <w:pPr>
        <w:pStyle w:val="Heading2"/>
      </w:pPr>
      <w:r>
        <w:t xml:space="preserve">6.7 Notification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ex: booking_confirmed</w:t>
      </w:r>
      <w:r>
        <w:br/>
      </w:r>
      <w:r>
        <w:rPr>
          <w:rStyle w:val="NormalTok"/>
        </w:rPr>
        <w:t xml:space="preserve">  channel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email, sms, whatsapp, push, in_app</w:t>
      </w:r>
      <w:r>
        <w:br/>
      </w:r>
      <w:r>
        <w:rPr>
          <w:rStyle w:val="NormalTok"/>
        </w:rPr>
        <w:t xml:space="preserve">  kind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'session'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'session'</w:t>
      </w:r>
      <w:r>
        <w:rPr>
          <w:rStyle w:val="NormalTok"/>
        </w:rPr>
        <w:t xml:space="preserve">)), </w:t>
      </w:r>
      <w:r>
        <w:rPr>
          <w:rStyle w:val="CommentTok"/>
        </w:rPr>
        <w:t xml:space="preserve">-- WhatsApp: template vs session</w:t>
      </w:r>
      <w:r>
        <w:br/>
      </w:r>
      <w:r>
        <w:rPr>
          <w:rStyle w:val="NormalTok"/>
        </w:rPr>
        <w:t xml:space="preserve">  template_status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approved, pending</w:t>
      </w:r>
      <w:r>
        <w:br/>
      </w:r>
      <w:r>
        <w:rPr>
          <w:rStyle w:val="NormalTok"/>
        </w:rPr>
        <w:t xml:space="preserve">  version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contenu + variables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(project_id,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channel,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channel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ou 'auto'</w:t>
      </w:r>
      <w:r>
        <w:br/>
      </w:r>
      <w:r>
        <w:rPr>
          <w:rStyle w:val="NormalTok"/>
        </w:rPr>
        <w:t xml:space="preserve">  party_ref      text,                     </w:t>
      </w:r>
      <w:r>
        <w:rPr>
          <w:rStyle w:val="CommentTok"/>
        </w:rPr>
        <w:t xml:space="preserve">-- external_ref du destinataire</w:t>
      </w:r>
      <w:r>
        <w:br/>
      </w:r>
      <w:r>
        <w:rPr>
          <w:rStyle w:val="NormalTok"/>
        </w:rPr>
        <w:t xml:space="preserve">  template_key   text,</w:t>
      </w:r>
      <w:r>
        <w:br/>
      </w:r>
      <w:r>
        <w:rPr>
          <w:rStyle w:val="NormalTok"/>
        </w:rPr>
        <w:t xml:space="preserve">  status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canonical: queued, sent, delivered, read, failed</w:t>
      </w:r>
      <w:r>
        <w:br/>
      </w:r>
      <w:r>
        <w:rPr>
          <w:rStyle w:val="NormalTok"/>
        </w:rPr>
        <w:t xml:space="preserve">  idempotency_key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(project_id, idempotency_key)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notification_deliveries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notification_id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notifications(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provider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whatsapp_selfhosted, whatsapp_cloud, twilio...</w:t>
      </w:r>
      <w:r>
        <w:br/>
      </w:r>
      <w:r>
        <w:rPr>
          <w:rStyle w:val="NormalTok"/>
        </w:rPr>
        <w:t xml:space="preserve">  provider_message_id text,</w:t>
      </w:r>
      <w:r>
        <w:br/>
      </w:r>
      <w:r>
        <w:rPr>
          <w:rStyle w:val="NormalTok"/>
        </w:rPr>
        <w:t xml:space="preserve">  raw_status       text,</w:t>
      </w:r>
      <w:r>
        <w:br/>
      </w:r>
      <w:r>
        <w:rPr>
          <w:rStyle w:val="NormalTok"/>
        </w:rPr>
        <w:t xml:space="preserve">  canonical_status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attempt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4"/>
    <w:bookmarkStart w:id="35" w:name="webhooks-outbox-audit"/>
    <w:p>
      <w:pPr>
        <w:pStyle w:val="Heading2"/>
      </w:pPr>
      <w:r>
        <w:t xml:space="preserve">6.8 Webhooks, Outbox, Audit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webhook_endpoints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url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secret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pour signature HMAC (chiffré au repos)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abonnements</w:t>
      </w:r>
      <w:r>
        <w:br/>
      </w:r>
      <w:r>
        <w:rPr>
          <w:rStyle w:val="NormalTok"/>
        </w:rPr>
        <w:t xml:space="preserve">  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webhook_deliveries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endpoint_id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webhook_endpoints(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pending, delivered, failed, dead</w:t>
      </w:r>
      <w:r>
        <w:br/>
      </w:r>
      <w:r>
        <w:rPr>
          <w:rStyle w:val="NormalTok"/>
        </w:rPr>
        <w:t xml:space="preserve">  attempt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next_retry_at timestamptz,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Transactional outbox : événement écrit dans la MÊME tx que l'état métier.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event_outbox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payment.completed, wallet.credited...</w:t>
      </w:r>
      <w:r>
        <w:br/>
      </w:r>
      <w:r>
        <w:rPr>
          <w:rStyle w:val="NormalTok"/>
        </w:rPr>
        <w:t xml:space="preserve">  payload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correlation_id text,</w:t>
      </w:r>
      <w:r>
        <w:br/>
      </w:r>
      <w:r>
        <w:rPr>
          <w:rStyle w:val="NormalTok"/>
        </w:rPr>
        <w:t xml:space="preserve">  published_at  timestamptz,         </w:t>
      </w:r>
      <w:r>
        <w:rPr>
          <w:rStyle w:val="CommentTok"/>
        </w:rPr>
        <w:t xml:space="preserve">-- NULL = pas encore relayé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event_outbox (published_at)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operator:xxx, project:xxx, service:xxx</w:t>
      </w:r>
      <w:r>
        <w:br/>
      </w:r>
      <w:r>
        <w:rPr>
          <w:rStyle w:val="NormalTok"/>
        </w:rPr>
        <w:t xml:space="preserve">  action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       jsonb,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        jsonb,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      jsonb,               </w:t>
      </w:r>
      <w:r>
        <w:rPr>
          <w:rStyle w:val="CommentTok"/>
        </w:rPr>
        <w:t xml:space="preserve">-- ip, user agent, source</w:t>
      </w:r>
      <w:r>
        <w:br/>
      </w:r>
      <w:r>
        <w:rPr>
          <w:rStyle w:val="NormalTok"/>
        </w:rPr>
        <w:t xml:space="preserve">  correlation_id text,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gestion-de-largent"/>
    <w:p>
      <w:pPr>
        <w:pStyle w:val="Heading1"/>
      </w:pPr>
      <w:r>
        <w:t xml:space="preserve">7. Gestion de l’argent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Stockage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amount_minor bigint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currency char(3)</w:t>
      </w:r>
      <w:r>
        <w:t xml:space="preserve">. Aucune colonne monétaire en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/</w:t>
      </w:r>
      <w:r>
        <w:rPr>
          <w:rStyle w:val="VerbatimChar"/>
        </w:rPr>
        <w:t xml:space="preserve">double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Calcul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brick/money</w:t>
      </w:r>
      <w:r>
        <w:t xml:space="preserve">, qui empêche les opérations entre devises et gère l’arrondi explicitement.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Précision</w:t>
      </w:r>
      <w:r>
        <w:t xml:space="preserve"> </w:t>
      </w:r>
      <w:r>
        <w:t xml:space="preserve">: la table</w:t>
      </w:r>
      <w:r>
        <w:t xml:space="preserve"> </w:t>
      </w:r>
      <w:r>
        <w:rPr>
          <w:rStyle w:val="VerbatimChar"/>
        </w:rPr>
        <w:t xml:space="preserve">currencies</w:t>
      </w:r>
      <w:r>
        <w:t xml:space="preserve"> </w:t>
      </w:r>
      <w:r>
        <w:t xml:space="preserve">porte l’exposant ; XAF (exposant 0) n’a pas de sous-unité, ce que le stockage en minor units gère naturellement.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Arrondi</w:t>
      </w:r>
      <w:r>
        <w:t xml:space="preserve"> </w:t>
      </w:r>
      <w:r>
        <w:t xml:space="preserve">: toute règle produisant une fraction d’unité définit sa stratégie d’arrondi ; l’écart d’arrondi est porté par un compte de clearing dédié dans le ledger, jamais perdu.</w:t>
      </w:r>
    </w:p>
    <w:p>
      <w:r>
        <w:pict>
          <v:rect style="width:0;height:1.5pt" o:hralign="center" o:hrstd="t" o:hr="t"/>
        </w:pict>
      </w:r>
    </w:p>
    <w:bookmarkEnd w:id="37"/>
    <w:bookmarkStart w:id="42" w:name="modèle-de-concurrence-du-wallet"/>
    <w:p>
      <w:pPr>
        <w:pStyle w:val="Heading1"/>
      </w:pPr>
      <w:r>
        <w:t xml:space="preserve">8. Modèle de concurrence du wallet</w:t>
      </w:r>
    </w:p>
    <w:p>
      <w:pPr>
        <w:pStyle w:val="FirstParagraph"/>
      </w:pPr>
      <w:r>
        <w:t xml:space="preserve">Le point le plus sensible techniquement. Deux débits simultanés sur le même wallet ne doivent jamais produire un solde incohérent ni un solde négatif non voulu.</w:t>
      </w:r>
    </w:p>
    <w:bookmarkStart w:id="38" w:name="X7459b588d9e552daa9f6765fe4add6dd04c866c"/>
    <w:p>
      <w:pPr>
        <w:pStyle w:val="Heading2"/>
      </w:pPr>
      <w:r>
        <w:t xml:space="preserve">8.1 Stratégie retenue — verrou pessimiste + append atomique</w:t>
      </w:r>
    </w:p>
    <w:p>
      <w:pPr>
        <w:pStyle w:val="FirstParagraph"/>
      </w:pPr>
      <w:r>
        <w:t xml:space="preserve">Toute mutation de wallet s’exécute dans</w:t>
      </w:r>
      <w:r>
        <w:t xml:space="preserve"> </w:t>
      </w:r>
      <w:r>
        <w:rPr>
          <w:bCs/>
          <w:b/>
        </w:rPr>
        <w:t xml:space="preserve">une seule transaction PostgreSQL</w:t>
      </w:r>
      <w:r>
        <w:t xml:space="preserve"> 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SELECT ... FROM wallet_balances WHERE wallet_id = ? FOR UPDATE</w:t>
      </w:r>
      <w:r>
        <w:t xml:space="preserve"> </w:t>
      </w:r>
      <w:r>
        <w:t xml:space="preserve">— verrouille la ligne de solde.</w:t>
      </w:r>
    </w:p>
    <w:p>
      <w:pPr>
        <w:numPr>
          <w:ilvl w:val="0"/>
          <w:numId w:val="1005"/>
        </w:numPr>
        <w:pStyle w:val="Compact"/>
      </w:pPr>
      <w:r>
        <w:t xml:space="preserve">Vérifier la disponibilité (</w:t>
      </w:r>
      <w:r>
        <w:rPr>
          <w:rStyle w:val="VerbatimChar"/>
        </w:rPr>
        <w:t xml:space="preserve">available_minor &gt;= montant</w:t>
      </w:r>
      <w:r>
        <w:t xml:space="preserve"> </w:t>
      </w:r>
      <w:r>
        <w:t xml:space="preserve">pour un débit).</w:t>
      </w:r>
    </w:p>
    <w:p>
      <w:pPr>
        <w:numPr>
          <w:ilvl w:val="0"/>
          <w:numId w:val="1005"/>
        </w:numPr>
        <w:pStyle w:val="Compact"/>
      </w:pPr>
      <w:r>
        <w:t xml:space="preserve">Insérer les</w:t>
      </w:r>
      <w:r>
        <w:t xml:space="preserve"> </w:t>
      </w:r>
      <w:r>
        <w:rPr>
          <w:rStyle w:val="VerbatimChar"/>
        </w:rPr>
        <w:t xml:space="preserve">ledger_entries</w:t>
      </w:r>
      <w:r>
        <w:t xml:space="preserve"> </w:t>
      </w:r>
      <w:r>
        <w:t xml:space="preserve">équilibrées (débit + crédit).</w:t>
      </w:r>
    </w:p>
    <w:p>
      <w:pPr>
        <w:numPr>
          <w:ilvl w:val="0"/>
          <w:numId w:val="1005"/>
        </w:numPr>
        <w:pStyle w:val="Compact"/>
      </w:pPr>
      <w:r>
        <w:t xml:space="preserve">Mettre à jour</w:t>
      </w:r>
      <w:r>
        <w:t xml:space="preserve"> </w:t>
      </w:r>
      <w:r>
        <w:rPr>
          <w:rStyle w:val="VerbatimChar"/>
        </w:rPr>
        <w:t xml:space="preserve">wallet_balances</w:t>
      </w:r>
      <w:r>
        <w:t xml:space="preserve"> </w:t>
      </w:r>
      <w:r>
        <w:t xml:space="preserve">(available/held) et incrémenter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Écrire l’événement dans</w:t>
      </w:r>
      <w:r>
        <w:t xml:space="preserve"> </w:t>
      </w:r>
      <w:r>
        <w:rPr>
          <w:rStyle w:val="VerbatimChar"/>
        </w:rPr>
        <w:t xml:space="preserve">event_outbox</w:t>
      </w:r>
      <w:r>
        <w:t xml:space="preserve"> </w:t>
      </w:r>
      <w:r>
        <w:t xml:space="preserve">(même transaction).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COMMIT</w:t>
      </w:r>
      <w:r>
        <w:t xml:space="preserve">.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sérialise les opérations concurrentes sur un même wallet ; les opérations sur des wallets différents restent parallèles. À la volumétrie visée, c’est correct et simple.</w:t>
      </w:r>
    </w:p>
    <w:bookmarkEnd w:id="38"/>
    <w:bookmarkStart w:id="39" w:name="pseudo-code"/>
    <w:p>
      <w:pPr>
        <w:pStyle w:val="Heading2"/>
      </w:pPr>
      <w:r>
        <w:t xml:space="preserve">8.2 Pseudo-code</w:t>
      </w:r>
    </w:p>
    <w:p>
      <w:pPr>
        <w:pStyle w:val="SourceCode"/>
      </w:pPr>
      <w:r>
        <w:rPr>
          <w:rStyle w:val="ConstantTok"/>
        </w:rPr>
        <w:t xml:space="preserve">DB</w:t>
      </w:r>
      <w:r>
        <w:rPr>
          <w:rStyle w:val="NormalTok"/>
        </w:rPr>
        <w:t xml:space="preserve">::transaction(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$walletId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$idempotencyKey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Idempotence : si la clé existe déjà, on renvoie le résultat existant.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$existing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edgerTransaction::where(</w:t>
      </w:r>
      <w:r>
        <w:rPr>
          <w:rStyle w:val="StringTok"/>
        </w:rPr>
        <w:t xml:space="preserve">'project_id'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'idempotency_key'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$idempotencyKey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$existing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$existing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pas de double effet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Verrou pessimiste sur la ligne de solde.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alletBalance::where(</w:t>
      </w:r>
      <w:r>
        <w:rPr>
          <w:rStyle w:val="StringTok"/>
        </w:rPr>
        <w:t xml:space="preserve">'wallet_id'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$walletId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-&gt;lockForUpdate()-&gt;firstOrFail()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$balance</w:t>
      </w:r>
      <w:r>
        <w:rPr>
          <w:rStyle w:val="NormalTok"/>
        </w:rPr>
        <w:t xml:space="preserve">-&gt;available_minor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nsufficientFundsException()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edgerTransaction::create([...])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edgerEntry::create([... 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'debit'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...])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edgerEntry::create([... </w:t>
      </w:r>
      <w:r>
        <w:rPr>
          <w:rStyle w:val="StringTok"/>
        </w:rPr>
        <w:t xml:space="preserve">'direction'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'credit'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$balance</w:t>
      </w:r>
      <w:r>
        <w:rPr>
          <w:rStyle w:val="NormalTok"/>
        </w:rPr>
        <w:t xml:space="preserve">-&gt;available_minor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$balance</w:t>
      </w:r>
      <w:r>
        <w:rPr>
          <w:rStyle w:val="NormalTok"/>
        </w:rPr>
        <w:t xml:space="preserve">-&gt;version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$balance</w:t>
      </w:r>
      <w:r>
        <w:rPr>
          <w:rStyle w:val="NormalTok"/>
        </w:rPr>
        <w:t xml:space="preserve">-&gt;save()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ventOutbox::create([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'wallet.debited'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'correlation_id'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$correlationId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39"/>
    <w:bookmarkStart w:id="40" w:name="verrou-optimiste-de-secours"/>
    <w:p>
      <w:pPr>
        <w:pStyle w:val="Heading2"/>
      </w:pPr>
      <w:r>
        <w:t xml:space="preserve">8.3 Verrou optimiste de secours</w:t>
      </w:r>
    </w:p>
    <w:p>
      <w:pPr>
        <w:pStyle w:val="FirstParagraph"/>
      </w:pPr>
      <w:r>
        <w:t xml:space="preserve">Sous forte contention future, la colonne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permet un verrou optimiste (</w:t>
      </w:r>
      <w:r>
        <w:rPr>
          <w:rStyle w:val="VerbatimChar"/>
        </w:rPr>
        <w:t xml:space="preserve">UPDATE ... WHERE version = ?</w:t>
      </w:r>
      <w:r>
        <w:t xml:space="preserve">) avec retry applicatif borné. On ne l’active que si le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devient un point chaud mesuré.</w:t>
      </w:r>
    </w:p>
    <w:bookmarkEnd w:id="40"/>
    <w:bookmarkStart w:id="41" w:name="holds-réservations"/>
    <w:p>
      <w:pPr>
        <w:pStyle w:val="Heading2"/>
      </w:pPr>
      <w:r>
        <w:t xml:space="preserve">8.4 Holds (réservations)</w:t>
      </w:r>
    </w:p>
    <w:p>
      <w:pPr>
        <w:pStyle w:val="FirstParagraph"/>
      </w:pPr>
      <w:r>
        <w:t xml:space="preserve">Un hold déplace un montant de</w:t>
      </w:r>
      <w:r>
        <w:t xml:space="preserve"> </w:t>
      </w:r>
      <w:r>
        <w:rPr>
          <w:rStyle w:val="VerbatimChar"/>
        </w:rPr>
        <w:t xml:space="preserve">available_minor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held_minor</w:t>
      </w:r>
      <w:r>
        <w:t xml:space="preserve"> </w:t>
      </w:r>
      <w:r>
        <w:t xml:space="preserve">(même mécanisme atomique). La capture confirme (débit réel), l’annulation libère (retour en available).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architecture-des-adaptateurs-providers"/>
    <w:p>
      <w:pPr>
        <w:pStyle w:val="Heading1"/>
      </w:pPr>
      <w:r>
        <w:t xml:space="preserve">9. Architecture des adaptateurs providers</w:t>
      </w:r>
    </w:p>
    <w:p>
      <w:pPr>
        <w:pStyle w:val="FirstParagraph"/>
      </w:pPr>
      <w:r>
        <w:t xml:space="preserve">Le mécanisme central qui répond à l’objectif :</w:t>
      </w:r>
      <w:r>
        <w:t xml:space="preserve"> </w:t>
      </w:r>
      <w:r>
        <w:rPr>
          <w:bCs/>
          <w:b/>
        </w:rPr>
        <w:t xml:space="preserve">changer ou ajouter un provider sans toucher aux applications métier</w:t>
      </w:r>
      <w:r>
        <w:t xml:space="preserve">. Il s’applique de façon</w:t>
      </w:r>
      <w:r>
        <w:t xml:space="preserve"> </w:t>
      </w:r>
      <w:r>
        <w:rPr>
          <w:bCs/>
          <w:b/>
        </w:rPr>
        <w:t xml:space="preserve">identique au paiement et à la notification</w:t>
      </w:r>
      <w:r>
        <w:t xml:space="preserve">.</w:t>
      </w:r>
    </w:p>
    <w:bookmarkStart w:id="43" w:name="port-interface-commune-paiement"/>
    <w:p>
      <w:pPr>
        <w:pStyle w:val="Heading2"/>
      </w:pPr>
      <w:r>
        <w:t xml:space="preserve">9.1 Port (interface commune) — paiement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aymentProvider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initiateCollection(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ollectionRequest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roviderResult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initiatePayout(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ayoutRequest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roviderResult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verifyStatus(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$providerReference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roviderStatus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handleCallback(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allbackPayload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roviderStatus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refund(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efundRequest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roviderResult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supports(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aymentMethod </w:t>
      </w:r>
      <w:r>
        <w:rPr>
          <w:rStyle w:val="VariableTok"/>
        </w:rPr>
        <w:t xml:space="preserve">$method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Adaptateurs concrets :</w:t>
      </w:r>
      <w:r>
        <w:t xml:space="preserve"> </w:t>
      </w:r>
      <w:r>
        <w:rPr>
          <w:rStyle w:val="VerbatimChar"/>
        </w:rPr>
        <w:t xml:space="preserve">MtnMomoAdapter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OrangeMoneyAdapter</w:t>
      </w:r>
      <w:r>
        <w:t xml:space="preserve">, (plus tard)</w:t>
      </w:r>
      <w:r>
        <w:t xml:space="preserve"> </w:t>
      </w:r>
      <w:r>
        <w:rPr>
          <w:rStyle w:val="VerbatimChar"/>
        </w:rPr>
        <w:t xml:space="preserve">CardAcquirerAdapter</w:t>
      </w:r>
      <w:r>
        <w:t xml:space="preserve">… Chaque adaptateur encapsule les URLs, l’authentification, le format des requêtes et la traduction des statuts du provider.</w:t>
      </w:r>
    </w:p>
    <w:bookmarkEnd w:id="43"/>
    <w:bookmarkStart w:id="44" w:name="port-interface-commune-notification"/>
    <w:p>
      <w:pPr>
        <w:pStyle w:val="Heading2"/>
      </w:pPr>
      <w:r>
        <w:t xml:space="preserve">9.2 Port (interface commune) — notification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</w:t>
      </w:r>
      <w:r>
        <w:rPr>
          <w:rStyle w:val="NormalTok"/>
        </w:rPr>
        <w:t xml:space="preserve">otificationChannelProvider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send(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utboundMessage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roviderDispatchResult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getStatus(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$providerMessageId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eliveryStatus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handleDeliveryCallback(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allbackPayload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eliveryStatus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supports(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hannel </w:t>
      </w:r>
      <w:r>
        <w:rPr>
          <w:rStyle w:val="VariableTok"/>
        </w:rPr>
        <w:t xml:space="preserve">$channel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Adaptateurs concrets par canal et provider :</w:t>
      </w:r>
    </w:p>
    <w:p>
      <w:pPr>
        <w:numPr>
          <w:ilvl w:val="0"/>
          <w:numId w:val="1006"/>
        </w:numPr>
        <w:pStyle w:val="Compact"/>
      </w:pPr>
      <w:r>
        <w:t xml:space="preserve">WhatsApp :</w:t>
      </w:r>
      <w:r>
        <w:t xml:space="preserve"> </w:t>
      </w:r>
      <w:r>
        <w:rPr>
          <w:rStyle w:val="VerbatimChar"/>
        </w:rPr>
        <w:t xml:space="preserve">WhatsAppSelfHostedAdapter</w:t>
      </w:r>
      <w:r>
        <w:t xml:space="preserve"> </w:t>
      </w:r>
      <w:r>
        <w:t xml:space="preserve">(instance auto-hébergée),</w:t>
      </w:r>
      <w:r>
        <w:t xml:space="preserve"> </w:t>
      </w:r>
      <w:r>
        <w:rPr>
          <w:rStyle w:val="VerbatimChar"/>
        </w:rPr>
        <w:t xml:space="preserve">WhatsAppCloudApiAdapter</w:t>
      </w:r>
      <w:r>
        <w:t xml:space="preserve"> </w:t>
      </w:r>
      <w:r>
        <w:t xml:space="preserve">(Meta),</w:t>
      </w:r>
      <w:r>
        <w:t xml:space="preserve"> </w:t>
      </w:r>
      <w:r>
        <w:rPr>
          <w:rStyle w:val="VerbatimChar"/>
        </w:rPr>
        <w:t xml:space="preserve">TwilioWhatsAppAdapter</w:t>
      </w:r>
      <w:r>
        <w:t xml:space="preserve">…</w:t>
      </w:r>
    </w:p>
    <w:p>
      <w:pPr>
        <w:numPr>
          <w:ilvl w:val="0"/>
          <w:numId w:val="1006"/>
        </w:numPr>
        <w:pStyle w:val="Compact"/>
      </w:pPr>
      <w:r>
        <w:t xml:space="preserve">SMS : agrégateurs / opérateurs locaux.</w:t>
      </w:r>
    </w:p>
    <w:p>
      <w:pPr>
        <w:numPr>
          <w:ilvl w:val="0"/>
          <w:numId w:val="1006"/>
        </w:numPr>
        <w:pStyle w:val="Compact"/>
      </w:pPr>
      <w:r>
        <w:t xml:space="preserve">Email :</w:t>
      </w:r>
      <w:r>
        <w:t xml:space="preserve"> </w:t>
      </w:r>
      <w:r>
        <w:rPr>
          <w:rStyle w:val="VerbatimChar"/>
        </w:rPr>
        <w:t xml:space="preserve">SmtpAdapter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SesAdapter</w:t>
      </w:r>
      <w:r>
        <w:t xml:space="preserve">, provider transactionnel.</w:t>
      </w:r>
    </w:p>
    <w:p>
      <w:pPr>
        <w:numPr>
          <w:ilvl w:val="0"/>
          <w:numId w:val="1006"/>
        </w:numPr>
        <w:pStyle w:val="Compact"/>
      </w:pPr>
      <w:r>
        <w:t xml:space="preserve">Push / in-app.</w:t>
      </w:r>
    </w:p>
    <w:bookmarkEnd w:id="44"/>
    <w:bookmarkStart w:id="45" w:name="provider-router-fallback"/>
    <w:p>
      <w:pPr>
        <w:pStyle w:val="Heading2"/>
      </w:pPr>
      <w:r>
        <w:t xml:space="preserve">9.3 Provider Router &amp; fallback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Router</w:t>
      </w:r>
      <w:r>
        <w:t xml:space="preserve"> </w:t>
      </w:r>
      <w:r>
        <w:t xml:space="preserve">sélectionne l’adaptateur en fonction de : la méthode/canal demandé, le</w:t>
      </w:r>
      <w:r>
        <w:t xml:space="preserve"> </w:t>
      </w:r>
      <w:r>
        <w:rPr>
          <w:bCs/>
          <w:b/>
        </w:rPr>
        <w:t xml:space="preserve">provider actif configuré pour le Project</w:t>
      </w:r>
      <w:r>
        <w:t xml:space="preserve">, le pays, la disponibilité, et une</w:t>
      </w:r>
      <w:r>
        <w:t xml:space="preserve"> </w:t>
      </w:r>
      <w:r>
        <w:rPr>
          <w:bCs/>
          <w:b/>
        </w:rPr>
        <w:t xml:space="preserve">chaîne de fallback</w:t>
      </w:r>
      <w:r>
        <w:t xml:space="preserve">. Si le provider primaire échoue ou est indisponible, le Router bascule vers le secondaire configuré —</w:t>
      </w:r>
      <w:r>
        <w:t xml:space="preserve"> </w:t>
      </w:r>
      <w:r>
        <w:rPr>
          <w:bCs/>
          <w:b/>
        </w:rPr>
        <w:t xml:space="preserve">sans que l’application métier ne le sache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</w:t>
      </w:r>
      <w:r>
        <w:rPr>
          <w:rStyle w:val="NormalTok"/>
        </w:rPr>
        <w:t xml:space="preserve">otificationRouter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@var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NotificationChannelProvider[]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ordre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=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priorité/fallback</w:t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resolve(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hannel </w:t>
      </w:r>
      <w:r>
        <w:rPr>
          <w:rStyle w:val="VariableTok"/>
        </w:rPr>
        <w:t xml:space="preserve">$channel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rojectConfig </w:t>
      </w:r>
      <w:r>
        <w:rPr>
          <w:rStyle w:val="VariableTok"/>
        </w:rPr>
        <w:t xml:space="preserve">$cfg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$cfg</w:t>
      </w:r>
      <w:r>
        <w:rPr>
          <w:rStyle w:val="NormalTok"/>
        </w:rPr>
        <w:t xml:space="preserve">-&gt;providersFor(</w:t>
      </w:r>
      <w:r>
        <w:rPr>
          <w:rStyle w:val="VariableTok"/>
        </w:rPr>
        <w:t xml:space="preserve">$channel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ex: [selfhosted, cloud_api]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Configuration provider stockée par Project et par environnement (sandbox/live), credentials chiffrés au repos.</w:t>
      </w:r>
    </w:p>
    <w:bookmarkEnd w:id="45"/>
    <w:bookmarkStart w:id="46" w:name="anti-corruption-layer-statuts-canoniques"/>
    <w:p>
      <w:pPr>
        <w:pStyle w:val="Heading2"/>
      </w:pPr>
      <w:r>
        <w:t xml:space="preserve">9.4 Anti-corruption layer &amp; statuts canoniques</w:t>
      </w:r>
    </w:p>
    <w:p>
      <w:pPr>
        <w:pStyle w:val="FirstParagraph"/>
      </w:pPr>
      <w:r>
        <w:t xml:space="preserve">Chaque provider a ses propres statuts. L’adaptateur les</w:t>
      </w:r>
      <w:r>
        <w:t xml:space="preserve"> </w:t>
      </w:r>
      <w:r>
        <w:rPr>
          <w:bCs/>
          <w:b/>
        </w:rPr>
        <w:t xml:space="preserve">normalise</w:t>
      </w:r>
      <w:r>
        <w:t xml:space="preserve"> </w:t>
      </w:r>
      <w:r>
        <w:t xml:space="preserve">vers un ensemble canonique unique, seul connu du cœur et des applications.</w:t>
      </w:r>
    </w:p>
    <w:p>
      <w:pPr>
        <w:pStyle w:val="BodyText"/>
      </w:pPr>
      <w:r>
        <w:t xml:space="preserve">Paiement (canonique) 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.</w:t>
      </w:r>
    </w:p>
    <w:p>
      <w:pPr>
        <w:pStyle w:val="BodyText"/>
      </w:pPr>
      <w:r>
        <w:t xml:space="preserve">Notification (canonique) 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pStyle w:val="BodyText"/>
      </w:pPr>
      <w:r>
        <w:t xml:space="preserve">Ainsi,</w:t>
      </w:r>
      <w:r>
        <w:t xml:space="preserve"> </w:t>
      </w:r>
      <w:r>
        <w:rPr>
          <w:rStyle w:val="VerbatimChar"/>
        </w:rPr>
        <w:t xml:space="preserve">payment_intents.status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notifications.status</w:t>
      </w:r>
      <w:r>
        <w:t xml:space="preserve"> </w:t>
      </w:r>
      <w:r>
        <w:t xml:space="preserve">sont toujours canoniques ; les statuts bruts restent dans</w:t>
      </w:r>
      <w:r>
        <w:t xml:space="preserve"> </w:t>
      </w:r>
      <w:r>
        <w:rPr>
          <w:rStyle w:val="VerbatimChar"/>
        </w:rPr>
        <w:t xml:space="preserve">provider_transactions.raw_status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notification_deliveries.raw_status</w:t>
      </w:r>
      <w:r>
        <w:t xml:space="preserve"> </w:t>
      </w:r>
      <w:r>
        <w:t xml:space="preserve">pour l’audit.</w:t>
      </w:r>
    </w:p>
    <w:bookmarkEnd w:id="46"/>
    <w:bookmarkStart w:id="47" w:name="cas-spécifique-whatsapp-auto-hébergé"/>
    <w:p>
      <w:pPr>
        <w:pStyle w:val="Heading2"/>
      </w:pPr>
      <w:r>
        <w:t xml:space="preserve">9.5 Cas spécifique WhatsApp auto-hébergé</w:t>
      </w:r>
    </w:p>
    <w:p>
      <w:pPr>
        <w:pStyle w:val="FirstParagraph"/>
      </w:pPr>
      <w:r>
        <w:t xml:space="preserve">Trois contraintes absorbées par l’adaptateur, sans impact sur les apps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Template vs session</w:t>
      </w:r>
      <w:r>
        <w:t xml:space="preserve"> </w:t>
      </w:r>
      <w:r>
        <w:t xml:space="preserve">: WhatsApp distingue les messages</w:t>
      </w:r>
      <w:r>
        <w:t xml:space="preserve"> </w:t>
      </w:r>
      <w:r>
        <w:rPr>
          <w:iCs/>
          <w:i/>
        </w:rPr>
        <w:t xml:space="preserve">template</w:t>
      </w:r>
      <w:r>
        <w:t xml:space="preserve"> </w:t>
      </w:r>
      <w:r>
        <w:t xml:space="preserve">(hors fenêtre 24h, soumis à approbation) des messages de</w:t>
      </w:r>
      <w:r>
        <w:t xml:space="preserve"> </w:t>
      </w:r>
      <w:r>
        <w:rPr>
          <w:iCs/>
          <w:i/>
        </w:rPr>
        <w:t xml:space="preserve">session</w:t>
      </w:r>
      <w:r>
        <w:t xml:space="preserve"> </w:t>
      </w:r>
      <w:r>
        <w:t xml:space="preserve">(dans les 24h après un message entrant). Le modèle</w:t>
      </w:r>
      <w:r>
        <w:t xml:space="preserve"> </w:t>
      </w:r>
      <w:r>
        <w:rPr>
          <w:rStyle w:val="VerbatimChar"/>
        </w:rPr>
        <w:t xml:space="preserve">notification_templates</w:t>
      </w:r>
      <w:r>
        <w:t xml:space="preserve"> </w:t>
      </w:r>
      <w:r>
        <w:t xml:space="preserve">porte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template</w:t>
      </w:r>
      <w:r>
        <w:t xml:space="preserve">/</w:t>
      </w:r>
      <w:r>
        <w:rPr>
          <w:rStyle w:val="VerbatimChar"/>
        </w:rPr>
        <w:t xml:space="preserve">session</w:t>
      </w:r>
      <w:r>
        <w:t xml:space="preserve">) et</w:t>
      </w:r>
      <w:r>
        <w:t xml:space="preserve"> </w:t>
      </w:r>
      <w:r>
        <w:rPr>
          <w:rStyle w:val="VerbatimChar"/>
        </w:rPr>
        <w:t xml:space="preserve">template_status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pending</w:t>
      </w:r>
      <w:r>
        <w:t xml:space="preserve">). L’adaptateur choisit le bon type d’envoi selon le contexte.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Callbacks de statut</w:t>
      </w:r>
      <w:r>
        <w:t xml:space="preserve"> </w:t>
      </w:r>
      <w:r>
        <w:t xml:space="preserve">: l’instance auto-hébergée poste ses accusés (</w:t>
      </w:r>
      <w:r>
        <w:rPr>
          <w:rStyle w:val="VerbatimChar"/>
        </w:rPr>
        <w:t xml:space="preserve">delivered</w:t>
      </w:r>
      <w:r>
        <w:t xml:space="preserve">/</w:t>
      </w:r>
      <w:r>
        <w:rPr>
          <w:rStyle w:val="VerbatimChar"/>
        </w:rPr>
        <w:t xml:space="preserve">read</w:t>
      </w:r>
      <w:r>
        <w:t xml:space="preserve">) sur un endpoint du Core ;</w:t>
      </w:r>
      <w:r>
        <w:t xml:space="preserve"> </w:t>
      </w:r>
      <w:r>
        <w:rPr>
          <w:rStyle w:val="VerbatimChar"/>
        </w:rPr>
        <w:t xml:space="preserve">handleDeliveryCallback</w:t>
      </w:r>
      <w:r>
        <w:t xml:space="preserve"> </w:t>
      </w:r>
      <w:r>
        <w:t xml:space="preserve">les traduit en statuts canoniques et déclenche</w:t>
      </w:r>
      <w:r>
        <w:t xml:space="preserve"> </w:t>
      </w:r>
      <w:r>
        <w:rPr>
          <w:rStyle w:val="VerbatimChar"/>
        </w:rPr>
        <w:t xml:space="preserve">notification.delivered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notification.read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Secrets &amp; environnements</w:t>
      </w:r>
      <w:r>
        <w:t xml:space="preserve"> </w:t>
      </w:r>
      <w:r>
        <w:t xml:space="preserve">: URL et token de l’instance chiffrés au repos, isolés sandbox/live, jamais dans le code métier.</w:t>
      </w:r>
    </w:p>
    <w:p>
      <w:pPr>
        <w:pStyle w:val="FirstParagraph"/>
      </w:pPr>
      <w:r>
        <w:t xml:space="preserve">Remplacer l’instance auto-hébergée par un autre provider WhatsApp (ou l’inverse) = activer l’adaptateur cible et changer le provider par défaut du Project dans le Core Admin.</w:t>
      </w:r>
      <w:r>
        <w:t xml:space="preserve"> </w:t>
      </w:r>
      <w:r>
        <w:rPr>
          <w:bCs/>
          <w:b/>
        </w:rPr>
        <w:t xml:space="preserve">Aucune app métier ne bouge.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f78849e75250babe8a18ba4295cf0c76b3e4960"/>
    <w:p>
      <w:pPr>
        <w:pStyle w:val="Heading1"/>
      </w:pPr>
      <w:r>
        <w:t xml:space="preserve">10. Orchestration du paiement (machine à états)</w:t>
      </w:r>
    </w:p>
    <w:p>
      <w:pPr>
        <w:pStyle w:val="FirstParagraph"/>
      </w:pPr>
      <w:r>
        <w:t xml:space="preserve">États canoniques d’une Payment Intent :</w:t>
      </w:r>
      <w:r>
        <w:t xml:space="preserve"> </w:t>
      </w:r>
      <w:r>
        <w:rPr>
          <w:rStyle w:val="VerbatimChar"/>
        </w:rPr>
        <w:t xml:space="preserve">pending → processing → succeeded | failed | expired</w:t>
      </w:r>
      <w:r>
        <w:t xml:space="preserve">, avec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 </w:t>
      </w:r>
      <w:r>
        <w:t xml:space="preserve">depuis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.</w:t>
      </w:r>
    </w:p>
    <w:p>
      <w:pPr>
        <w:pStyle w:val="BodyText"/>
      </w:pPr>
      <w:r>
        <w:t xml:space="preserve">Flux de référence :</w:t>
      </w:r>
    </w:p>
    <w:p>
      <w:pPr>
        <w:numPr>
          <w:ilvl w:val="0"/>
          <w:numId w:val="1008"/>
        </w:numPr>
        <w:pStyle w:val="Compact"/>
      </w:pPr>
      <w:r>
        <w:t xml:space="preserve">Le produit crée une Payment Intent avec clé d’idempotence.</w:t>
      </w:r>
    </w:p>
    <w:p>
      <w:pPr>
        <w:numPr>
          <w:ilvl w:val="0"/>
          <w:numId w:val="1008"/>
        </w:numPr>
        <w:pStyle w:val="Compact"/>
      </w:pPr>
      <w:r>
        <w:t xml:space="preserve">Le Core valide montant, devise, projet, environnement, credentials.</w:t>
      </w:r>
    </w:p>
    <w:p>
      <w:pPr>
        <w:numPr>
          <w:ilvl w:val="0"/>
          <w:numId w:val="1008"/>
        </w:numPr>
        <w:pStyle w:val="Compact"/>
      </w:pPr>
      <w:r>
        <w:t xml:space="preserve">Le Fee Engine calcule frais et distributions applicables (simulation puis figeage).</w:t>
      </w:r>
    </w:p>
    <w:p>
      <w:pPr>
        <w:numPr>
          <w:ilvl w:val="0"/>
          <w:numId w:val="1008"/>
        </w:numPr>
        <w:pStyle w:val="Compact"/>
      </w:pPr>
      <w:r>
        <w:t xml:space="preserve">Le Router choisit le provider ; l’adaptateur déclenche la collecte.</w:t>
      </w:r>
    </w:p>
    <w:p>
      <w:pPr>
        <w:numPr>
          <w:ilvl w:val="0"/>
          <w:numId w:val="1008"/>
        </w:numPr>
        <w:pStyle w:val="Compact"/>
      </w:pPr>
      <w:r>
        <w:t xml:space="preserve">Le provider renvoie un résultat immédiat et/ou un callback.</w:t>
      </w:r>
    </w:p>
    <w:p>
      <w:pPr>
        <w:numPr>
          <w:ilvl w:val="0"/>
          <w:numId w:val="1008"/>
        </w:numPr>
        <w:pStyle w:val="Compact"/>
      </w:pPr>
      <w:r>
        <w:t xml:space="preserve">Le Core vérifie le statut auprès du provider si nécessaire (</w:t>
      </w:r>
      <w:r>
        <w:rPr>
          <w:rStyle w:val="VerbatimChar"/>
        </w:rPr>
        <w:t xml:space="preserve">verifyStatus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À la confirmation, le Core enregistre les écritures au ledger (transaction atomique) et applique les distributions.</w:t>
      </w:r>
    </w:p>
    <w:p>
      <w:pPr>
        <w:numPr>
          <w:ilvl w:val="0"/>
          <w:numId w:val="1008"/>
        </w:numPr>
        <w:pStyle w:val="Compact"/>
      </w:pPr>
      <w:r>
        <w:t xml:space="preserve">Le Core publie</w:t>
      </w:r>
      <w:r>
        <w:t xml:space="preserve"> </w:t>
      </w:r>
      <w:r>
        <w:rPr>
          <w:rStyle w:val="VerbatimChar"/>
        </w:rPr>
        <w:t xml:space="preserve">payment.completed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 </w:t>
      </w:r>
      <w:r>
        <w:t xml:space="preserve">via l’outbox.</w:t>
      </w:r>
    </w:p>
    <w:p>
      <w:pPr>
        <w:numPr>
          <w:ilvl w:val="0"/>
          <w:numId w:val="1008"/>
        </w:numPr>
        <w:pStyle w:val="Compact"/>
      </w:pPr>
      <w:r>
        <w:t xml:space="preserve">Le Notification Core envoie les notifications nécessaires.</w:t>
      </w:r>
    </w:p>
    <w:p>
      <w:pPr>
        <w:numPr>
          <w:ilvl w:val="0"/>
          <w:numId w:val="1008"/>
        </w:numPr>
        <w:pStyle w:val="Compact"/>
      </w:pPr>
      <w:r>
        <w:t xml:space="preserve">Toutes les références et traces sont conservées pour audit et réconciliation.</w:t>
      </w:r>
    </w:p>
    <w:p>
      <w:pPr>
        <w:pStyle w:val="FirstParagraph"/>
      </w:pPr>
      <w:r>
        <w:t xml:space="preserve">Timeouts et retries sont bornés ; un paiement resté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au-delà d’un seuil déclenche une vérification active puis, si nécessaire, une réconciliation.</w:t>
      </w:r>
    </w:p>
    <w:p>
      <w:r>
        <w:pict>
          <v:rect style="width:0;height:1.5pt" o:hralign="center" o:hrstd="t" o:hr="t"/>
        </w:pict>
      </w:r>
    </w:p>
    <w:bookmarkEnd w:id="49"/>
    <w:bookmarkStart w:id="50" w:name="fee-commission-engine"/>
    <w:p>
      <w:pPr>
        <w:pStyle w:val="Heading1"/>
      </w:pPr>
      <w:r>
        <w:t xml:space="preserve">11. Fee &amp; Commission Engine</w:t>
      </w:r>
    </w:p>
    <w:p>
      <w:pPr>
        <w:numPr>
          <w:ilvl w:val="0"/>
          <w:numId w:val="1009"/>
        </w:numPr>
        <w:pStyle w:val="Compact"/>
      </w:pPr>
      <w:r>
        <w:t xml:space="preserve">Les</w:t>
      </w:r>
      <w:r>
        <w:t xml:space="preserve"> </w:t>
      </w:r>
      <w:r>
        <w:rPr>
          <w:rStyle w:val="VerbatimChar"/>
        </w:rPr>
        <w:t xml:space="preserve">fee_rules</w:t>
      </w:r>
      <w:r>
        <w:t xml:space="preserve"> </w:t>
      </w:r>
      <w:r>
        <w:t xml:space="preserve">portent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(conditions d’application),</w:t>
      </w:r>
      <w:r>
        <w:t xml:space="preserve"> </w:t>
      </w:r>
      <w:r>
        <w:rPr>
          <w:rStyle w:val="VerbatimChar"/>
        </w:rPr>
        <w:t xml:space="preserve">calculation</w:t>
      </w:r>
      <w:r>
        <w:t xml:space="preserve"> </w:t>
      </w:r>
      <w:r>
        <w:t xml:space="preserve">(percent/fixed/min/max),</w:t>
      </w:r>
      <w:r>
        <w:t xml:space="preserve"> </w:t>
      </w:r>
      <w:r>
        <w:rPr>
          <w:rStyle w:val="VerbatimChar"/>
        </w:rPr>
        <w:t xml:space="preserve">distribution</w:t>
      </w:r>
      <w:r>
        <w:t xml:space="preserve"> </w:t>
      </w:r>
      <w:r>
        <w:t xml:space="preserve">(bénéficiaires),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effective_at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L’évaluation sélectionne les règles applicables par scope, ordonne par priorité, calcule le montant et le</w:t>
      </w:r>
      <w:r>
        <w:t xml:space="preserve"> </w:t>
      </w:r>
      <w:r>
        <w:rPr>
          <w:bCs/>
          <w:b/>
        </w:rPr>
        <w:t xml:space="preserve">plan de distribution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Le plan de distribution se traduit en écritures ledger multiples dans</w:t>
      </w:r>
      <w:r>
        <w:t xml:space="preserve"> </w:t>
      </w:r>
      <w:r>
        <w:rPr>
          <w:bCs/>
          <w:b/>
        </w:rPr>
        <w:t xml:space="preserve">une seule transaction</w:t>
      </w:r>
      <w:r>
        <w:t xml:space="preserve"> </w:t>
      </w:r>
      <w:r>
        <w:t xml:space="preserve">: débit payeur, crédit bénéficiaire, crédit frais plateforme, crédit commission agent, frais provider.</w:t>
      </w:r>
    </w:p>
    <w:p>
      <w:pPr>
        <w:numPr>
          <w:ilvl w:val="0"/>
          <w:numId w:val="1009"/>
        </w:numPr>
        <w:pStyle w:val="Compact"/>
      </w:pPr>
      <w:r>
        <w:t xml:space="preserve">La règle appliquée est</w:t>
      </w:r>
      <w:r>
        <w:t xml:space="preserve"> </w:t>
      </w:r>
      <w:r>
        <w:rPr>
          <w:bCs/>
          <w:b/>
        </w:rPr>
        <w:t xml:space="preserve">figée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applied_fees.snapshot</w:t>
      </w:r>
      <w:r>
        <w:t xml:space="preserve"> </w:t>
      </w:r>
      <w:r>
        <w:t xml:space="preserve">(copie immuable), garantissant la reproductibilité et l’auditabilité.</w:t>
      </w:r>
    </w:p>
    <w:p>
      <w:pPr>
        <w:numPr>
          <w:ilvl w:val="0"/>
          <w:numId w:val="1009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permet de prévisualiser l’effet d’une règle avant activation.</w:t>
      </w:r>
    </w:p>
    <w:p>
      <w:r>
        <w:pict>
          <v:rect style="width:0;height:1.5pt" o:hralign="center" o:hrstd="t" o:hr="t"/>
        </w:pict>
      </w:r>
    </w:p>
    <w:bookmarkEnd w:id="50"/>
    <w:bookmarkStart w:id="54" w:name="événements-outbox"/>
    <w:p>
      <w:pPr>
        <w:pStyle w:val="Heading1"/>
      </w:pPr>
      <w:r>
        <w:t xml:space="preserve">12. Événements &amp; Outbox</w:t>
      </w:r>
    </w:p>
    <w:bookmarkStart w:id="51" w:name="transactional-outbox"/>
    <w:p>
      <w:pPr>
        <w:pStyle w:val="Heading2"/>
      </w:pPr>
      <w:r>
        <w:t xml:space="preserve">12.1 Transactional outbox</w:t>
      </w:r>
    </w:p>
    <w:p>
      <w:pPr>
        <w:pStyle w:val="FirstParagraph"/>
      </w:pPr>
      <w:r>
        <w:t xml:space="preserve">L’événement est inséré dans</w:t>
      </w:r>
      <w:r>
        <w:t xml:space="preserve"> </w:t>
      </w:r>
      <w:r>
        <w:rPr>
          <w:rStyle w:val="VerbatimChar"/>
        </w:rPr>
        <w:t xml:space="preserve">event_outbox</w:t>
      </w:r>
      <w:r>
        <w:t xml:space="preserve"> </w:t>
      </w:r>
      <w:r>
        <w:rPr>
          <w:bCs/>
          <w:b/>
        </w:rPr>
        <w:t xml:space="preserve">dans la même transaction</w:t>
      </w:r>
      <w:r>
        <w:t xml:space="preserve"> </w:t>
      </w:r>
      <w:r>
        <w:t xml:space="preserve">que le changement d’état métier. Un relayeur (job Horizon) lit les lignes</w:t>
      </w:r>
      <w:r>
        <w:t xml:space="preserve"> </w:t>
      </w:r>
      <w:r>
        <w:rPr>
          <w:rStyle w:val="VerbatimChar"/>
        </w:rPr>
        <w:t xml:space="preserve">published_at IS NULL</w:t>
      </w:r>
      <w:r>
        <w:t xml:space="preserve">, dispatche vers les consommateurs internes (listeners) et vers le module Webhook, puis marque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. Aucune perte, aucun événement sans état correspondant.</w:t>
      </w:r>
    </w:p>
    <w:bookmarkEnd w:id="51"/>
    <w:bookmarkStart w:id="52" w:name="catalogue-dévénements-extrait"/>
    <w:p>
      <w:pPr>
        <w:pStyle w:val="Heading2"/>
      </w:pPr>
      <w:r>
        <w:t xml:space="preserve">12.2 Catalogue d’événements (extrait)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Événement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Émis quand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 confirmé et enregistré au ledger.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 échoué / expiré.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Remboursement effectué.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wallet.credited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crédité.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wallet.debited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débité.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payout.completed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Versement effectué.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payout.failed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Versement échoué.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subscription.renewed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Souscription renouvelée.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Souscription proche de l’échéance.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livrée par le provider.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lue (WhatsApp).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échouée après fallbacks.</w:t>
            </w:r>
          </w:p>
        </w:tc>
      </w:tr>
    </w:tbl>
    <w:bookmarkEnd w:id="52"/>
    <w:bookmarkStart w:id="53" w:name="webhooks-sortants"/>
    <w:p>
      <w:pPr>
        <w:pStyle w:val="Heading2"/>
      </w:pPr>
      <w:r>
        <w:t xml:space="preserve">12.3 Webhooks sortants</w:t>
      </w:r>
    </w:p>
    <w:p>
      <w:pPr>
        <w:numPr>
          <w:ilvl w:val="0"/>
          <w:numId w:val="1010"/>
        </w:numPr>
        <w:pStyle w:val="Compact"/>
      </w:pPr>
      <w:r>
        <w:t xml:space="preserve">Livraison signée (HMAC via</w:t>
      </w:r>
      <w:r>
        <w:t xml:space="preserve"> </w:t>
      </w:r>
      <w:r>
        <w:rPr>
          <w:rStyle w:val="VerbatimChar"/>
        </w:rPr>
        <w:t xml:space="preserve">webhook_endpoints.secret</w:t>
      </w:r>
      <w:r>
        <w:t xml:space="preserve">), en-tête de signature + timestamp.</w:t>
      </w:r>
    </w:p>
    <w:p>
      <w:pPr>
        <w:numPr>
          <w:ilvl w:val="0"/>
          <w:numId w:val="1010"/>
        </w:numPr>
        <w:pStyle w:val="Compact"/>
      </w:pPr>
      <w:r>
        <w:t xml:space="preserve">Idempotence côté consommateur via un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stable.</w:t>
      </w:r>
    </w:p>
    <w:p>
      <w:pPr>
        <w:numPr>
          <w:ilvl w:val="0"/>
          <w:numId w:val="1010"/>
        </w:numPr>
        <w:pStyle w:val="Compact"/>
      </w:pPr>
      <w:r>
        <w:t xml:space="preserve">Retry avec backoff exponentiel,</w:t>
      </w:r>
      <w:r>
        <w:t xml:space="preserve"> </w:t>
      </w:r>
      <w:r>
        <w:rPr>
          <w:rStyle w:val="VerbatimChar"/>
        </w:rPr>
        <w:t xml:space="preserve">next_retry_at</w:t>
      </w:r>
      <w:r>
        <w:t xml:space="preserve">, passage en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après N échecs (DLQ), et</w:t>
      </w:r>
      <w:r>
        <w:t xml:space="preserve"> </w:t>
      </w:r>
      <w:r>
        <w:rPr>
          <w:bCs/>
          <w:b/>
        </w:rPr>
        <w:t xml:space="preserve">replay contrôlé</w:t>
      </w:r>
      <w:r>
        <w:t xml:space="preserve"> </w:t>
      </w:r>
      <w:r>
        <w:t xml:space="preserve">depuis le Core Admin.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nception-des-api"/>
    <w:p>
      <w:pPr>
        <w:pStyle w:val="Heading1"/>
      </w:pPr>
      <w:r>
        <w:t xml:space="preserve">13. Conception des API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Versionnement</w:t>
      </w:r>
      <w:r>
        <w:t xml:space="preserve"> </w:t>
      </w:r>
      <w:r>
        <w:t xml:space="preserve">par URL (</w:t>
      </w:r>
      <w:r>
        <w:rPr>
          <w:rStyle w:val="VerbatimChar"/>
        </w:rPr>
        <w:t xml:space="preserve">/v1/...</w:t>
      </w:r>
      <w:r>
        <w:t xml:space="preserve">) ; changements incompatibles → nouvelle version, avec politique de dépréciation et fenêtre de préavis.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Idempotence</w:t>
      </w:r>
      <w:r>
        <w:t xml:space="preserve"> </w:t>
      </w:r>
      <w:r>
        <w:t xml:space="preserve">: header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obligatoire sur toutes les mutations monétaires et d’envoi.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Corrélation</w:t>
      </w:r>
      <w:r>
        <w:t xml:space="preserve"> </w:t>
      </w:r>
      <w:r>
        <w:t xml:space="preserve">: header</w:t>
      </w:r>
      <w:r>
        <w:t xml:space="preserve"> </w:t>
      </w:r>
      <w:r>
        <w:rPr>
          <w:rStyle w:val="VerbatimChar"/>
        </w:rPr>
        <w:t xml:space="preserve">Correlation-Id</w:t>
      </w:r>
      <w:r>
        <w:t xml:space="preserve"> </w:t>
      </w:r>
      <w:r>
        <w:t xml:space="preserve">propagé de bout en bout (généré si absent).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Erreurs</w:t>
      </w:r>
      <w:r>
        <w:t xml:space="preserve"> </w:t>
      </w:r>
      <w:r>
        <w:t xml:space="preserve">: format RFC 7807 (</w:t>
      </w:r>
      <w:r>
        <w:rPr>
          <w:rStyle w:val="VerbatimChar"/>
        </w:rPr>
        <w:t xml:space="preserve">application/problem+json</w:t>
      </w:r>
      <w:r>
        <w:t xml:space="preserve">) avec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Pagination</w:t>
      </w:r>
      <w:r>
        <w:t xml:space="preserve"> </w:t>
      </w:r>
      <w:r>
        <w:t xml:space="preserve">: par curseur pour les grandes collections.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Contrats</w:t>
      </w:r>
      <w:r>
        <w:t xml:space="preserve"> </w:t>
      </w:r>
      <w:r>
        <w:t xml:space="preserve">: OpenAPI 3.1 généré, publié dans le portail développeur, testé par tests de contrat (Pact) entre Core et consommateurs.</w:t>
      </w:r>
    </w:p>
    <w:p>
      <w:pPr>
        <w:pStyle w:val="FirstParagraph"/>
      </w:pPr>
      <w:r>
        <w:t xml:space="preserve">Exemple — création d’un paiement :</w:t>
      </w:r>
    </w:p>
    <w:p>
      <w:pPr>
        <w:pStyle w:val="SourceCode"/>
      </w:pPr>
      <w:r>
        <w:rPr>
          <w:rStyle w:val="VerbatimChar"/>
        </w:rPr>
        <w:t xml:space="preserve">POST /v1/payments</w:t>
      </w:r>
      <w:r>
        <w:br/>
      </w:r>
      <w:r>
        <w:rPr>
          <w:rStyle w:val="VerbatimChar"/>
        </w:rPr>
        <w:t xml:space="preserve">Authorization: Bearer &lt;project_live_key&gt;</w:t>
      </w:r>
      <w:r>
        <w:br/>
      </w:r>
      <w:r>
        <w:rPr>
          <w:rStyle w:val="VerbatimChar"/>
        </w:rPr>
        <w:t xml:space="preserve">Idempotency-Key: 9f1c...-a2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"amount": 5000,</w:t>
      </w:r>
      <w:r>
        <w:br/>
      </w:r>
      <w:r>
        <w:rPr>
          <w:rStyle w:val="VerbatimChar"/>
        </w:rPr>
        <w:t xml:space="preserve">  "currency": "XAF",</w:t>
      </w:r>
      <w:r>
        <w:br/>
      </w:r>
      <w:r>
        <w:rPr>
          <w:rStyle w:val="VerbatimChar"/>
        </w:rPr>
        <w:t xml:space="preserve">  "method": "mtn_momo",</w:t>
      </w:r>
      <w:r>
        <w:br/>
      </w:r>
      <w:r>
        <w:rPr>
          <w:rStyle w:val="VerbatimChar"/>
        </w:rPr>
        <w:t xml:space="preserve">  "on_behalf_of": "user_8421",</w:t>
      </w:r>
      <w:r>
        <w:br/>
      </w:r>
      <w:r>
        <w:rPr>
          <w:rStyle w:val="VerbatimChar"/>
        </w:rPr>
        <w:t xml:space="preserve">  "external_ref": "order_1245",</w:t>
      </w:r>
      <w:r>
        <w:br/>
      </w:r>
      <w:r>
        <w:rPr>
          <w:rStyle w:val="VerbatimChar"/>
        </w:rPr>
        <w:t xml:space="preserve">  "metadata": { "order_id": "1245"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Exemple — envoi d’une notification (identique quel que soit le provider derrière) :</w:t>
      </w:r>
    </w:p>
    <w:p>
      <w:pPr>
        <w:pStyle w:val="SourceCode"/>
      </w:pPr>
      <w:r>
        <w:rPr>
          <w:rStyle w:val="VerbatimChar"/>
        </w:rPr>
        <w:t xml:space="preserve">POST /v1/notifications</w:t>
      </w:r>
      <w:r>
        <w:br/>
      </w:r>
      <w:r>
        <w:rPr>
          <w:rStyle w:val="VerbatimChar"/>
        </w:rPr>
        <w:t xml:space="preserve">Authorization: Bearer &lt;project_live_key&gt;</w:t>
      </w:r>
      <w:r>
        <w:br/>
      </w:r>
      <w:r>
        <w:rPr>
          <w:rStyle w:val="VerbatimChar"/>
        </w:rPr>
        <w:t xml:space="preserve">Idempotency-Key: 51ab...-7c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"channel": "whatsapp",</w:t>
      </w:r>
      <w:r>
        <w:br/>
      </w:r>
      <w:r>
        <w:rPr>
          <w:rStyle w:val="VerbatimChar"/>
        </w:rPr>
        <w:t xml:space="preserve">  "to_party_ref": "user_8421",</w:t>
      </w:r>
      <w:r>
        <w:br/>
      </w:r>
      <w:r>
        <w:rPr>
          <w:rStyle w:val="VerbatimChar"/>
        </w:rPr>
        <w:t xml:space="preserve">  "template": "booking_confirmed",</w:t>
      </w:r>
      <w:r>
        <w:br/>
      </w:r>
      <w:r>
        <w:rPr>
          <w:rStyle w:val="VerbatimChar"/>
        </w:rPr>
        <w:t xml:space="preserve">  "variables": { "name": "Awa", "date": "2026-10-02"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sécurité"/>
    <w:p>
      <w:pPr>
        <w:pStyle w:val="Heading1"/>
      </w:pPr>
      <w:r>
        <w:t xml:space="preserve">14. Sécurité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Moindre privilège</w:t>
      </w:r>
      <w:r>
        <w:t xml:space="preserve"> </w:t>
      </w:r>
      <w:r>
        <w:t xml:space="preserve">: scopes fins par credential ; un client externe n’obtient que le strict nécessaire.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Isolation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sur toutes les requêtes via global scopes ; contrôle systématique de l’appartenance.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Secrets</w:t>
      </w:r>
      <w:r>
        <w:t xml:space="preserve"> </w:t>
      </w:r>
      <w:r>
        <w:t xml:space="preserve">: jamais en clair dans le code ; credentials providers et secrets webhooks</w:t>
      </w:r>
      <w:r>
        <w:t xml:space="preserve"> </w:t>
      </w:r>
      <w:r>
        <w:rPr>
          <w:bCs/>
          <w:b/>
        </w:rPr>
        <w:t xml:space="preserve">chiffrés au repos</w:t>
      </w:r>
      <w:r>
        <w:t xml:space="preserve"> </w:t>
      </w:r>
      <w:r>
        <w:t xml:space="preserve">; rotation supportée.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Webhooks</w:t>
      </w:r>
      <w:r>
        <w:t xml:space="preserve"> </w:t>
      </w:r>
      <w:r>
        <w:t xml:space="preserve">: signature HMAC sortante ; vérification de signature et protection anti-rejeu sur les callbacks providers entrants.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Rate limiting &amp; quotas</w:t>
      </w:r>
      <w:r>
        <w:t xml:space="preserve"> </w:t>
      </w:r>
      <w:r>
        <w:t xml:space="preserve">: par Project et par environnement.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Sandbox / live</w:t>
      </w:r>
      <w:r>
        <w:t xml:space="preserve"> </w:t>
      </w:r>
      <w:r>
        <w:t xml:space="preserve">: isolation totale des données et des effets.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: validation stricte des entrées (Form Requests), rejet des payloads non conformes.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Accès production restreint</w:t>
      </w:r>
      <w:r>
        <w:t xml:space="preserve"> </w:t>
      </w:r>
      <w:r>
        <w:t xml:space="preserve">: opérations critiques auditées, MFA opérateurs.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Chiffrement en transit</w:t>
      </w:r>
      <w:r>
        <w:t xml:space="preserve"> </w:t>
      </w:r>
      <w:r>
        <w:t xml:space="preserve">: TLS de bout en bout.</w:t>
      </w:r>
    </w:p>
    <w:p>
      <w:r>
        <w:pict>
          <v:rect style="width:0;height:1.5pt" o:hralign="center" o:hrstd="t" o:hr="t"/>
        </w:pict>
      </w:r>
    </w:p>
    <w:bookmarkEnd w:id="56"/>
    <w:bookmarkStart w:id="57" w:name="observabilité-et-exploitation"/>
    <w:p>
      <w:pPr>
        <w:pStyle w:val="Heading1"/>
      </w:pPr>
      <w:r>
        <w:t xml:space="preserve">15. Observabilité et exploitation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Correlation ID / Request ID</w:t>
      </w:r>
      <w:r>
        <w:t xml:space="preserve"> </w:t>
      </w:r>
      <w:r>
        <w:t xml:space="preserve">sur chaque requête et opération.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Logs structurés</w:t>
      </w:r>
      <w:r>
        <w:t xml:space="preserve"> </w:t>
      </w:r>
      <w:r>
        <w:t xml:space="preserve">JSON, corrélés.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Metrics</w:t>
      </w:r>
      <w:r>
        <w:t xml:space="preserve"> </w:t>
      </w:r>
      <w:r>
        <w:t xml:space="preserve">par capability et par provider (taux de succès, latence, backlog de files, callbacks, réconciliation).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Traces distribuées</w:t>
      </w:r>
      <w:r>
        <w:t xml:space="preserve"> </w:t>
      </w:r>
      <w:r>
        <w:t xml:space="preserve">(OpenTelemetry) lorsque plusieurs modules interviennent.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Alertes</w:t>
      </w:r>
      <w:r>
        <w:t xml:space="preserve"> </w:t>
      </w:r>
      <w:r>
        <w:t xml:space="preserve">sur taux d’échec, latence, backlog, DLQ, écarts de réconciliation.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Health / readiness checks</w:t>
      </w:r>
      <w:r>
        <w:t xml:space="preserve"> </w:t>
      </w:r>
      <w:r>
        <w:t xml:space="preserve">; supervision des files Horizon et de la DLQ.</w:t>
      </w:r>
    </w:p>
    <w:p>
      <w:r>
        <w:pict>
          <v:rect style="width:0;height:1.5pt" o:hralign="center" o:hrstd="t" o:hr="t"/>
        </w:pict>
      </w:r>
    </w:p>
    <w:bookmarkEnd w:id="57"/>
    <w:bookmarkStart w:id="58" w:name="multi-tenancy-isolation"/>
    <w:p>
      <w:pPr>
        <w:pStyle w:val="Heading1"/>
      </w:pPr>
      <w:r>
        <w:t xml:space="preserve">16. Multi-tenancy &amp; isolation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Base partagée</w:t>
      </w:r>
      <w:r>
        <w:t xml:space="preserve">, isolation applicative par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(global scopes Eloquent, jamais désactivables silencieusement).</w:t>
      </w:r>
    </w:p>
    <w:p>
      <w:pPr>
        <w:numPr>
          <w:ilvl w:val="0"/>
          <w:numId w:val="1014"/>
        </w:numPr>
        <w:pStyle w:val="Compact"/>
      </w:pPr>
      <w:r>
        <w:t xml:space="preserve">Option d’activer</w:t>
      </w:r>
      <w:r>
        <w:t xml:space="preserve"> </w:t>
      </w:r>
      <w:r>
        <w:rPr>
          <w:bCs/>
          <w:b/>
        </w:rPr>
        <w:t xml:space="preserve">PostgreSQL Row-Level Security</w:t>
      </w:r>
      <w:r>
        <w:t xml:space="preserve"> </w:t>
      </w:r>
      <w:r>
        <w:t xml:space="preserve">en défense en profondeur.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Extraction en base dédiée</w:t>
      </w:r>
      <w:r>
        <w:t xml:space="preserve"> </w:t>
      </w:r>
      <w:r>
        <w:t xml:space="preserve">possible pour un gros client externe (exigence contractuelle), sans changer les contrats API.</w:t>
      </w:r>
    </w:p>
    <w:p>
      <w:r>
        <w:pict>
          <v:rect style="width:0;height:1.5pt" o:hralign="center" o:hrstd="t" o:hr="t"/>
        </w:pict>
      </w:r>
    </w:p>
    <w:bookmarkEnd w:id="58"/>
    <w:bookmarkStart w:id="59" w:name="déploiement-infrastructure"/>
    <w:p>
      <w:pPr>
        <w:pStyle w:val="Heading1"/>
      </w:pPr>
      <w:r>
        <w:t xml:space="preserve">17. Déploiement &amp; infrastructure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Conteneurs</w:t>
      </w:r>
      <w:r>
        <w:t xml:space="preserve"> </w:t>
      </w:r>
      <w:r>
        <w:t xml:space="preserve">(application, workers Horizon, relayeur outbox), orchestrés sur le cloud cible.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Environnements séparés</w:t>
      </w:r>
      <w:r>
        <w:t xml:space="preserve"> </w:t>
      </w:r>
      <w:r>
        <w:t xml:space="preserve">: sandbox, staging, live, avec credentials et bases distincts.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Migrations</w:t>
      </w:r>
      <w:r>
        <w:t xml:space="preserve"> </w:t>
      </w:r>
      <w:r>
        <w:t xml:space="preserve">versionnées, jouées en pipeline ; migrations financières irréversibles traitées avec précaution (pas de rollback destructeur).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CI/CD</w:t>
      </w:r>
      <w:r>
        <w:t xml:space="preserve"> </w:t>
      </w:r>
      <w:r>
        <w:t xml:space="preserve">: lint, tests unitaires, tests de contrat, vérification Deptrac, build image, déploiement progressif.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Files</w:t>
      </w:r>
      <w:r>
        <w:t xml:space="preserve"> </w:t>
      </w:r>
      <w:r>
        <w:t xml:space="preserve">: Horizon pour jobs applicatifs, files dédiées pour webhooks et notifications (isolation des pannes).</w:t>
      </w:r>
    </w:p>
    <w:p>
      <w:r>
        <w:pict>
          <v:rect style="width:0;height:1.5pt" o:hralign="center" o:hrstd="t" o:hr="t"/>
        </w:pict>
      </w:r>
    </w:p>
    <w:bookmarkEnd w:id="59"/>
    <w:bookmarkStart w:id="60" w:name="stratégie-de-test"/>
    <w:p>
      <w:pPr>
        <w:pStyle w:val="Heading1"/>
      </w:pPr>
      <w:r>
        <w:t xml:space="preserve">18. Stratégie de test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Tests unitaires</w:t>
      </w:r>
      <w:r>
        <w:t xml:space="preserve"> </w:t>
      </w:r>
      <w:r>
        <w:t xml:space="preserve">sur les règles de frais, le calcul monétaire, la machine à états.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Invariants ledger</w:t>
      </w:r>
      <w:r>
        <w:t xml:space="preserve"> </w:t>
      </w:r>
      <w:r>
        <w:t xml:space="preserve">: propriétés vérifiées (somme des entries = 0 par transaction ; solde matérialisé = somme dérivée des entries).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Tests de concurrence</w:t>
      </w:r>
      <w:r>
        <w:t xml:space="preserve"> </w:t>
      </w:r>
      <w:r>
        <w:t xml:space="preserve">: débits parallèles sur un même wallet ne produisent ni solde négatif ni double effet.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Mocks providers</w:t>
      </w:r>
      <w:r>
        <w:t xml:space="preserve"> </w:t>
      </w:r>
      <w:r>
        <w:t xml:space="preserve">: chaque adaptateur testé contre un simulateur (sandbox) reproduisant statuts et callbacks, y compris cas d’échec et timeout.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Tests de contrat</w:t>
      </w:r>
      <w:r>
        <w:t xml:space="preserve"> </w:t>
      </w:r>
      <w:r>
        <w:t xml:space="preserve">(Pact) entre Core et applications consommatrices pour garantir la compatibilité ascendante.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Tests d’idempotence</w:t>
      </w:r>
      <w:r>
        <w:t xml:space="preserve"> </w:t>
      </w:r>
      <w:r>
        <w:t xml:space="preserve">: rejeu de requêtes identiques.</w:t>
      </w:r>
    </w:p>
    <w:p>
      <w:r>
        <w:pict>
          <v:rect style="width:0;height:1.5pt" o:hralign="center" o:hrstd="t" o:hr="t"/>
        </w:pict>
      </w:r>
    </w:p>
    <w:bookmarkEnd w:id="60"/>
    <w:bookmarkStart w:id="61" w:name="périmètre-et-séquencement-du-mvp"/>
    <w:p>
      <w:pPr>
        <w:pStyle w:val="Heading1"/>
      </w:pPr>
      <w:r>
        <w:t xml:space="preserve">19. Périmètre et séquencement du MVP</w:t>
      </w:r>
    </w:p>
    <w:p>
      <w:pPr>
        <w:pStyle w:val="FirstParagraph"/>
      </w:pPr>
      <w:r>
        <w:rPr>
          <w:bCs/>
          <w:b/>
        </w:rPr>
        <w:t xml:space="preserve">Dans le MVP :</w:t>
      </w:r>
    </w:p>
    <w:p>
      <w:pPr>
        <w:numPr>
          <w:ilvl w:val="0"/>
          <w:numId w:val="1017"/>
        </w:numPr>
        <w:pStyle w:val="Compact"/>
      </w:pPr>
      <w:r>
        <w:t xml:space="preserve">Foundation : Identity (Org/Project/API keys/OAuth), Parties (lazy), Audit, observabilité de base.</w:t>
      </w:r>
    </w:p>
    <w:p>
      <w:pPr>
        <w:numPr>
          <w:ilvl w:val="0"/>
          <w:numId w:val="1017"/>
        </w:numPr>
        <w:pStyle w:val="Compact"/>
      </w:pPr>
      <w:r>
        <w:t xml:space="preserve">Money : Ledger, Wallet (crédit/débit/hold), idempotence.</w:t>
      </w:r>
    </w:p>
    <w:p>
      <w:pPr>
        <w:numPr>
          <w:ilvl w:val="0"/>
          <w:numId w:val="1017"/>
        </w:numPr>
        <w:pStyle w:val="Compact"/>
      </w:pPr>
      <w:r>
        <w:t xml:space="preserve">Payment : orchestration + adaptateurs</w:t>
      </w:r>
      <w:r>
        <w:t xml:space="preserve"> </w:t>
      </w:r>
      <w:r>
        <w:rPr>
          <w:bCs/>
          <w:b/>
        </w:rPr>
        <w:t xml:space="preserve">MTN MoMo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Orange Money</w:t>
      </w:r>
      <w:r>
        <w:t xml:space="preserve">,</w:t>
      </w:r>
      <w:r>
        <w:t xml:space="preserve"> </w:t>
      </w:r>
      <w:r>
        <w:rPr>
          <w:bCs/>
          <w:b/>
        </w:rPr>
        <w:t xml:space="preserve">XAF</w:t>
      </w:r>
      <w:r>
        <w:t xml:space="preserve">,</w:t>
      </w:r>
      <w:r>
        <w:t xml:space="preserve"> </w:t>
      </w:r>
      <w:r>
        <w:rPr>
          <w:bCs/>
          <w:b/>
        </w:rPr>
        <w:t xml:space="preserve">Cameroun</w:t>
      </w:r>
      <w:r>
        <w:t xml:space="preserve">, sandbox/live.</w:t>
      </w:r>
    </w:p>
    <w:p>
      <w:pPr>
        <w:numPr>
          <w:ilvl w:val="0"/>
          <w:numId w:val="1017"/>
        </w:numPr>
        <w:pStyle w:val="Compact"/>
      </w:pPr>
      <w:r>
        <w:t xml:space="preserve">Fees : moteur de règles + distribution + simulation.</w:t>
      </w:r>
    </w:p>
    <w:p>
      <w:pPr>
        <w:numPr>
          <w:ilvl w:val="0"/>
          <w:numId w:val="1017"/>
        </w:numPr>
        <w:pStyle w:val="Compact"/>
      </w:pPr>
      <w:r>
        <w:t xml:space="preserve">Events &amp; Webhooks : outbox, webhooks signés, retry/DLQ/replay.</w:t>
      </w:r>
    </w:p>
    <w:p>
      <w:pPr>
        <w:numPr>
          <w:ilvl w:val="0"/>
          <w:numId w:val="1017"/>
        </w:numPr>
        <w:pStyle w:val="Compact"/>
      </w:pPr>
      <w:r>
        <w:t xml:space="preserve">Notification : orchestration + adaptateur</w:t>
      </w:r>
      <w:r>
        <w:t xml:space="preserve"> </w:t>
      </w:r>
      <w:r>
        <w:rPr>
          <w:bCs/>
          <w:b/>
        </w:rPr>
        <w:t xml:space="preserve">WhatsApp auto-hébergé</w:t>
      </w:r>
      <w:r>
        <w:t xml:space="preserve"> </w:t>
      </w:r>
      <w:r>
        <w:t xml:space="preserve">(+ un canal de secours), templates, statuts canoniques.</w:t>
      </w:r>
    </w:p>
    <w:p>
      <w:pPr>
        <w:numPr>
          <w:ilvl w:val="0"/>
          <w:numId w:val="1017"/>
        </w:numPr>
        <w:pStyle w:val="Compact"/>
      </w:pPr>
      <w:r>
        <w:t xml:space="preserve">Migration : shadow mode pour un produit pilote.</w:t>
      </w:r>
    </w:p>
    <w:p>
      <w:pPr>
        <w:pStyle w:val="FirstParagraph"/>
      </w:pPr>
      <w:r>
        <w:rPr>
          <w:bCs/>
          <w:b/>
        </w:rPr>
        <w:t xml:space="preserve">Hors MVP (phases ultérieures) :</w:t>
      </w:r>
      <w:r>
        <w:t xml:space="preserve"> </w:t>
      </w:r>
      <w:r>
        <w:t xml:space="preserve">Billing/Subscriptions complet, Storage/Media avancé, providers carte, Developer Platform externe et SDK publics, extraction en services, RabbitMQ.</w:t>
      </w:r>
    </w:p>
    <w:p>
      <w:pPr>
        <w:pStyle w:val="BodyText"/>
      </w:pPr>
      <w:r>
        <w:rPr>
          <w:bCs/>
          <w:b/>
        </w:rPr>
        <w:t xml:space="preserve">Séquencement recommandé :</w:t>
      </w:r>
      <w:r>
        <w:t xml:space="preserve"> </w:t>
      </w:r>
      <w:r>
        <w:t xml:space="preserve">Foundation → Money/Payment → Notifications → Billing → Developer Platform → migration progressive des produits.</w:t>
      </w:r>
    </w:p>
    <w:p>
      <w:r>
        <w:pict>
          <v:rect style="width:0;height:1.5pt" o:hralign="center" o:hrstd="t" o:hr="t"/>
        </w:pict>
      </w:r>
    </w:p>
    <w:bookmarkEnd w:id="61"/>
    <w:bookmarkStart w:id="62" w:name="risques-techniques-mitigations"/>
    <w:p>
      <w:pPr>
        <w:pStyle w:val="Heading1"/>
      </w:pPr>
      <w:r>
        <w:t xml:space="preserve">20. Risques techniques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trop large / fourre-tout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par capabilities, comité d’architecture, critères d’entrée.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Couplage excessif des consommateurs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API/événements uniquement, aucun accès direct aux tables, tests de contrat.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Règles financières incorrectes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immuable, idempotence, invariants testés, réconciliation.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chaud de contention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Verrou pessimiste ciblé ; bascule optimiste si mesuré.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Divergence de statuts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Anti-corruption layer, statuts canoniques,</w:t>
            </w:r>
            <w:r>
              <w:t xml:space="preserve"> </w:t>
            </w:r>
            <w:r>
              <w:rPr>
                <w:rStyle w:val="VerbatimChar"/>
              </w:rPr>
              <w:t xml:space="preserve">raw_status</w:t>
            </w:r>
            <w:r>
              <w:t xml:space="preserve"> </w:t>
            </w:r>
            <w:r>
              <w:t xml:space="preserve">conservé.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Panne d’un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configuré, isolation des files, dégradation gracieuse.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risquée d’un produit en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mode / dual-write, réconciliation avant bascule, strangler pattern.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Microservices prématurés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monolith d’abord, extraction justifiée par la mesure.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Fuite de secrets via intégrations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isolés, chiffrés au repos, scopes, signatures, audit.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853359b05ea98197301145d2c3ba5be9d475160"/>
    <w:p>
      <w:pPr>
        <w:pStyle w:val="Heading1"/>
      </w:pPr>
      <w:r>
        <w:t xml:space="preserve">21. Annexe — Décisions à confirmer avant Phase 2 (Money)</w:t>
      </w:r>
    </w:p>
    <w:p>
      <w:pPr>
        <w:numPr>
          <w:ilvl w:val="0"/>
          <w:numId w:val="1018"/>
        </w:numPr>
        <w:pStyle w:val="Compact"/>
      </w:pPr>
      <w:r>
        <w:t xml:space="preserve">Statut réglementaire : modèle agrégateur via providers agréés vs détention de valeur pour tiers (licence e-money). À trancher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d’ouvrir les wallets à des tiers.</w:t>
      </w:r>
    </w:p>
    <w:p>
      <w:pPr>
        <w:numPr>
          <w:ilvl w:val="0"/>
          <w:numId w:val="1018"/>
        </w:numPr>
        <w:pStyle w:val="Compact"/>
      </w:pPr>
      <w:r>
        <w:t xml:space="preserve">Politique d’arrondi par devise et compte de clearing associé.</w:t>
      </w:r>
    </w:p>
    <w:p>
      <w:pPr>
        <w:numPr>
          <w:ilvl w:val="0"/>
          <w:numId w:val="1018"/>
        </w:numPr>
        <w:pStyle w:val="Compact"/>
      </w:pPr>
      <w:r>
        <w:t xml:space="preserve">Politique de dépréciation des versions d’API (fenêtre de préavis).</w:t>
      </w:r>
    </w:p>
    <w:p>
      <w:pPr>
        <w:numPr>
          <w:ilvl w:val="0"/>
          <w:numId w:val="1018"/>
        </w:numPr>
        <w:pStyle w:val="Compact"/>
      </w:pPr>
      <w:r>
        <w:t xml:space="preserve">Stratégie de sauvegarde/restauration et RPO/RTO du sous-système financier.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Fin de la Spécification Technique — Version 1.0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Core System — Spécification Technique</dc:title>
  <dc:creator>Architecture / Conseil logiciel</dc:creator>
  <cp:keywords/>
  <dcterms:created xsi:type="dcterms:W3CDTF">2026-09-14T13:30:20Z</dcterms:created>
  <dcterms:modified xsi:type="dcterms:W3CDTF">2026-09-14T13:30:20Z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— Septembre 2026</vt:lpwstr>
  </property>
</Properties>
</file>