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Premier résultat : ce que je croyais avoir obtenu</w:t>
      </w:r>
    </w:p>
    <w:p>
      <w:r>
        <w:t xml:space="preserve">Huit essais, c'est trop peu. J'ai donc généré </w:t>
      </w:r>
      <w:r>
        <w:rPr>
          <w:b/>
        </w:rPr>
        <w:t>800 fenêtres synthétiques</w:t>
      </w:r>
      <w:r>
        <w:t xml:space="preserve"> à partir de l'échantillon réel — bootstrap conditionné par classe, jitter borné, imperfections des capteurs reproduites — injectées à l'entraînement uniquement.</w:t>
      </w:r>
    </w:p>
    <w:p>
      <w:r>
        <w:t>Le gain paraissait net :</w:t>
      </w:r>
    </w:p>
    <w:p>
      <w:r>
        <w:rPr>
          <w:b/>
        </w:rPr>
        <w:t>Random Forest : 0,809 → 0,918</w:t>
      </w:r>
      <w:r>
        <w:t xml:space="preserve"> de F1-macro</w:t>
      </w:r>
    </w:p>
    <w:p>
      <w:r>
        <w:rPr>
          <w:b/>
        </w:rPr>
        <w:t>Écart-type divisé par plus de trois</w:t>
      </w:r>
      <w:r>
        <w:t xml:space="preserve"> (0,176 → 0,054)</w:t>
      </w:r>
    </w:p>
    <w:p>
      <w:r>
        <w:t>J'ai présenté ce résultat comme l'aboutissement du volet prédictif.</w:t>
      </w:r>
    </w:p>
    <w:p>
      <w:r>
        <w:rPr>
          <w:i/>
        </w:rPr>
        <w:t>Il était faux.</w:t>
      </w:r>
    </w:p>
    <w:p>
      <w:r>
        <w:br w:type="page"/>
      </w:r>
    </w:p>
    <w:p>
      <w:pPr>
        <w:pStyle w:val="Heading1"/>
      </w:pPr>
      <w:r>
        <w:t>L'audit : une fuite par ancrage</w:t>
      </w:r>
    </w:p>
    <w:p>
      <w:r>
        <w:t>En auditant mon propre pipeline à la demande de l'encadrement industriel, j'ai trouvé le défaut.</w:t>
      </w:r>
    </w:p>
    <w:p>
      <w:r>
        <w:t xml:space="preserve">Le pool synthétique était généré </w:t>
      </w:r>
      <w:r>
        <w:rPr>
          <w:b/>
        </w:rPr>
        <w:t>une seule fois, à partir des huit essais réels</w:t>
      </w:r>
      <w:r>
        <w:t xml:space="preserve"> — puis réutilisé dans chaque pli.</w:t>
      </w:r>
    </w:p>
    <w:p>
      <w:r>
        <w:t xml:space="preserve">L'essai censé être exclu avait donc contribué </w:t>
      </w:r>
      <w:r>
        <w:rPr>
          <w:b/>
        </w:rPr>
        <w:t>indirectement</w:t>
      </w:r>
      <w:r>
        <w:t xml:space="preserve"> à l'entraînement : ses fenêtres servaient de </w:t>
      </w:r>
      <w:r>
        <w:rPr>
          <w:b/>
        </w:rPr>
        <w:t>points d'ancrage</w:t>
      </w:r>
      <w:r>
        <w:t xml:space="preserve"> au bootstrap, ses valeurs alimentaient les écarts-types pilotant le jitter.</w:t>
      </w:r>
    </w:p>
    <w:p>
      <w:r>
        <w:t xml:space="preserve">Le pli de test ne contenait aucune fenêtre synthétique. </w:t>
      </w:r>
      <w:r>
        <w:rPr>
          <w:b/>
        </w:rPr>
        <w:t>La fuite était invisible à la lecture du code.</w:t>
      </w:r>
    </w:p>
    <w:p>
      <w:r>
        <w:rPr>
          <w:b/>
        </w:rPr>
        <w:t>La correction :</w:t>
      </w:r>
      <w:r>
        <w:t xml:space="preserve"> régénérer le pool à chaque pli, à partir des seuls essais d'entraînement — même algorithme, même volume, même graine.</w:t>
      </w:r>
    </w:p>
    <w:p>
      <w:r>
        <w:br w:type="page"/>
      </w:r>
    </w:p>
    <w:p>
      <w:pPr>
        <w:pStyle w:val="Heading1"/>
      </w:pPr>
      <w:r>
        <w:t>Le vrai résultat : le gain disparaît</w:t>
      </w:r>
    </w:p>
    <w:p>
      <w:r>
        <w:rPr>
          <w:i/>
        </w:rPr>
        <w:t>F1-macro, dans l'ordre : sans augmentation · augmentation globale (fuitée) · augmentation par pli (corrigée)</w:t>
      </w:r>
    </w:p>
    <w:p>
      <w:r>
        <w:rPr>
          <w:b/>
        </w:rPr>
        <w:t>SVM (RBF)</w:t>
      </w:r>
      <w:r>
        <w:t xml:space="preserve"> — 0,805 · 0,868 · </w:t>
      </w:r>
      <w:r>
        <w:rPr>
          <w:b/>
        </w:rPr>
        <w:t>0,824</w:t>
      </w:r>
    </w:p>
    <w:p>
      <w:r>
        <w:rPr>
          <w:b/>
        </w:rPr>
        <w:t>Régression logistique</w:t>
      </w:r>
      <w:r>
        <w:t xml:space="preserve"> — 0,799 · 0,860 · </w:t>
      </w:r>
      <w:r>
        <w:rPr>
          <w:b/>
        </w:rPr>
        <w:t>0,809</w:t>
      </w:r>
    </w:p>
    <w:p>
      <w:r>
        <w:rPr>
          <w:b/>
        </w:rPr>
        <w:t>Random Forest</w:t>
      </w:r>
      <w:r>
        <w:t xml:space="preserve"> — 0,809 · </w:t>
      </w:r>
      <w:r>
        <w:rPr>
          <w:b/>
        </w:rPr>
        <w:t>0,918</w:t>
      </w:r>
      <w:r>
        <w:t xml:space="preserve"> · </w:t>
      </w:r>
      <w:r>
        <w:rPr>
          <w:b/>
        </w:rPr>
        <w:t>0,809</w:t>
      </w:r>
    </w:p>
    <w:p>
      <w:r>
        <w:rPr>
          <w:b/>
        </w:rPr>
        <w:t>XGBoost</w:t>
      </w:r>
      <w:r>
        <w:t xml:space="preserve"> — 0,757 · 0,900 · </w:t>
      </w:r>
      <w:r>
        <w:rPr>
          <w:b/>
        </w:rPr>
        <w:t>0,801</w:t>
      </w:r>
    </w:p>
    <w:p>
      <w:r>
        <w:rPr>
          <w:b/>
        </w:rPr>
        <w:t>Réseau de neurones</w:t>
      </w:r>
      <w:r>
        <w:t xml:space="preserve"> — 0,778 · 0,862 · </w:t>
      </w:r>
      <w:r>
        <w:rPr>
          <w:b/>
        </w:rPr>
        <w:t>0,781</w:t>
      </w:r>
    </w:p>
    <w:p>
      <w:r>
        <w:t xml:space="preserve">Sur le Random Forest, le gain passe de </w:t>
      </w:r>
      <w:r>
        <w:rPr>
          <w:b/>
        </w:rPr>
        <w:t>+0,109 à −0,001</w:t>
      </w:r>
      <w:r>
        <w:t>.</w:t>
      </w:r>
    </w:p>
    <w:p>
      <w:r>
        <w:t xml:space="preserve">Aucun modèle n'atteint 0,85. Les cinq restent groupés entre 0,78 et 0,82, pour des écarts-types de 0,13 à 0,17 : </w:t>
      </w:r>
      <w:r>
        <w:rPr>
          <w:b/>
        </w:rPr>
        <w:t>statistiquement indiscernables</w:t>
      </w:r>
      <w:r>
        <w:t>.</w:t>
      </w:r>
    </w:p>
    <w:p>
      <w:r>
        <w:br w:type="page"/>
      </w:r>
    </w:p>
    <w:p>
      <w:pPr>
        <w:pStyle w:val="Heading1"/>
      </w:pPr>
      <w:r>
        <w:t>Pourquoi je le dis plutôt que de le taire</w:t>
      </w:r>
    </w:p>
    <w:p>
      <w:r>
        <w:rPr>
          <w:b/>
        </w:rPr>
        <w:t>Déontologique</w:t>
      </w:r>
      <w:r>
        <w:t xml:space="preserve"> — annoncer 0,918 à Rondol aurait été une promesse que le modèle n'aurait pas tenue en production.</w:t>
      </w:r>
    </w:p>
    <w:p>
      <w:r>
        <w:rPr>
          <w:b/>
        </w:rPr>
        <w:t>Méthodologique</w:t>
      </w:r>
      <w:r>
        <w:t xml:space="preserve"> — cette fuite illustre mieux que n'importe quel développement réussi le point central de mon travail : </w:t>
      </w:r>
      <w:r>
        <w:rPr>
          <w:i/>
        </w:rPr>
        <w:t>la performance est une propriété du protocole d'évaluation autant que de l'algorithme.</w:t>
      </w:r>
    </w:p>
    <w:p>
      <w:r>
        <w:rPr>
          <w:b/>
        </w:rPr>
        <w:t>Pratique</w:t>
      </w:r>
      <w:r>
        <w:t xml:space="preserve"> — prédictions par pli, métriques et générateur corrigé sont livrés dans le dépôt. Chaque chiffre est recalculable et contestable.</w:t>
      </w:r>
    </w:p>
    <w:p>
      <w:pPr>
        <w:ind w:left="480"/>
      </w:pPr>
      <w:r>
        <w:rPr>
          <w:b/>
          <w:i/>
          <w:color w:val="1F4E79"/>
        </w:rPr>
        <w:t>Le modèle retenu reste le Random Forest — non pour son score, mais pour son interprétabilité, sa tolérance aux capteurs manquants et sa stabilité inter-essais (l'écart-type le plus faible des cinq).</w:t>
      </w:r>
    </w:p>
    <w:p>
      <w:r>
        <w:br w:type="page"/>
      </w:r>
    </w:p>
    <w:p>
      <w:pPr>
        <w:pStyle w:val="Heading1"/>
      </w:pPr>
      <w:r>
        <w:t>Épreuve de transférabilité : validation externe</w:t>
      </w:r>
    </w:p>
    <w:p>
      <w:r>
        <w:t xml:space="preserve">Pour tester la généralisation sans attendre une nouvelle campagne, j'ai généré une base continue de 100 800 lignes à partir de l'échantillon réel, puis soumis le modèle </w:t>
      </w:r>
      <w:r>
        <w:rPr>
          <w:b/>
        </w:rPr>
        <w:t>sans réentraînement</w:t>
      </w:r>
      <w:r>
        <w:t>.</w:t>
      </w:r>
    </w:p>
    <w:p>
      <w:r>
        <w:rPr>
          <w:b/>
        </w:rPr>
        <w:t>3 479</w:t>
      </w:r>
      <w:r>
        <w:t xml:space="preserve"> fenêtres · </w:t>
      </w:r>
      <w:r>
        <w:rPr>
          <w:b/>
        </w:rPr>
        <w:t>15</w:t>
      </w:r>
      <w:r>
        <w:t xml:space="preserve"> runs simulés</w:t>
      </w:r>
    </w:p>
    <w:p>
      <w:r>
        <w:rPr>
          <w:b/>
        </w:rPr>
        <w:t>AUC 0,753</w:t>
      </w:r>
      <w:r>
        <w:t xml:space="preserve"> — le pouvoir discriminant subsiste</w:t>
      </w:r>
    </w:p>
    <w:p>
      <w:r>
        <w:rPr>
          <w:b/>
        </w:rPr>
        <w:t>62 %</w:t>
      </w:r>
      <w:r>
        <w:t xml:space="preserve"> des fenêtres instables détectées, avec des erreurs majoritairement </w:t>
      </w:r>
      <w:r>
        <w:rPr>
          <w:b/>
        </w:rPr>
        <w:t>conservatrices</w:t>
      </w:r>
      <w:r>
        <w:t xml:space="preserve"> : fausses alertes plutôt que dérives manquées</w:t>
      </w:r>
    </w:p>
    <w:p>
      <w:r>
        <w:rPr>
          <w:i/>
        </w:rPr>
        <w:t>La génération n'a volontairement pas été ajustée pour flatter ces chiffres. L'écart avec les essais réels mesure la sensibilité au changement de distribution — et confirme le statut de l'outil : indicateur d'aide à la décision, pas détecteur certifié.</w:t>
      </w:r>
    </w:p>
    <w:p>
      <w:r>
        <w:br w:type="page"/>
      </w:r>
    </w:p>
    <w:p>
      <w:pPr>
        <w:pStyle w:val="Heading1"/>
      </w:pPr>
      <w:r>
        <w:t>L'application : une HMI industrielle, pas un tableau de bord</w:t>
      </w:r>
    </w:p>
    <w:p>
      <w:r>
        <w:rPr>
          <w:b/>
        </w:rPr>
        <w:t>7 pages</w:t>
      </w:r>
      <w:r>
        <w:t xml:space="preserve"> — Supervision · Profil de vis · Paramètres IA · Analyse de run · Historique · Moteur procédé · Compte</w:t>
      </w:r>
    </w:p>
    <w:p>
      <w:r>
        <w:rPr>
          <w:b/>
        </w:rPr>
        <w:t>Persistance en trois couches</w:t>
      </w:r>
      <w:r>
        <w:t xml:space="preserve"> — édition → état validé → historique. L'opérateur ne perd jamais son travail, même après un redémarrage du serveur.</w:t>
      </w:r>
    </w:p>
    <w:p>
      <w:r>
        <w:rPr>
          <w:b/>
        </w:rPr>
        <w:t>Bilingue</w:t>
      </w:r>
      <w:r>
        <w:t xml:space="preserve"> FR / EN · </w:t>
      </w:r>
      <w:r>
        <w:rPr>
          <w:b/>
        </w:rPr>
        <w:t>accès protégé</w:t>
      </w:r>
      <w:r>
        <w:t xml:space="preserve"> (mots de passe hachés PBKDF2, jamais en clair)</w:t>
      </w:r>
    </w:p>
    <w:p>
      <w:r>
        <w:rPr>
          <w:b/>
        </w:rPr>
        <w:t>Accessible</w:t>
      </w:r>
      <w:r>
        <w:t xml:space="preserve"> — contrastes mesurés de 6,38:1 à 18,39:1, tous conformes WCAG 2.1 AA ; schéma de vis doté d'une alternative textuelle</w:t>
      </w:r>
    </w:p>
    <w:p>
      <w:r>
        <w:rPr>
          <w:b/>
        </w:rPr>
        <w:t>En ligne</w:t>
      </w:r>
      <w:r>
        <w:t xml:space="preserve"> — rondol-process-supervision-demo.streamlit.app</w:t>
      </w:r>
    </w:p>
    <w:p>
      <w:r>
        <w:br w:type="page"/>
      </w:r>
    </w:p>
    <w:p>
      <w:pPr>
        <w:pStyle w:val="Heading1"/>
      </w:pPr>
      <w:r>
        <w:t>Cinq cas pour prouver que l'outil réagit juste</w:t>
      </w:r>
    </w:p>
    <w:p>
      <w:r>
        <w:rPr>
          <w:b/>
        </w:rPr>
        <w:t>C1 — référence</w:t>
      </w:r>
      <w:r>
        <w:t xml:space="preserve"> formulation lithiée LFP 65 % / PVDF 8 % / Super P 5 % / LATP 17 % / LiTFSI 5 % → </w:t>
      </w:r>
      <w:r>
        <w:rPr>
          <w:b/>
        </w:rPr>
        <w:t>65/100</w:t>
      </w:r>
    </w:p>
    <w:p>
      <w:r>
        <w:rPr>
          <w:b/>
        </w:rPr>
        <w:t>C2 — configuration optimisée</w:t>
      </w:r>
      <w:r>
        <w:t xml:space="preserve"> → </w:t>
      </w:r>
      <w:r>
        <w:rPr>
          <w:b/>
        </w:rPr>
        <w:t>82/100</w:t>
      </w:r>
      <w:r>
        <w:t xml:space="preserve"> · </w:t>
      </w:r>
      <w:r>
        <w:rPr>
          <w:i/>
        </w:rPr>
        <w:t>l'outil est sensible</w:t>
      </w:r>
    </w:p>
    <w:p>
      <w:r>
        <w:rPr>
          <w:b/>
        </w:rPr>
        <w:t>C3 — défaut provoqué</w:t>
      </w:r>
      <w:r>
        <w:t xml:space="preserve"> → </w:t>
      </w:r>
      <w:r>
        <w:rPr>
          <w:b/>
        </w:rPr>
        <w:t>46/100</w:t>
      </w:r>
      <w:r>
        <w:t xml:space="preserve">, probabilité de stabilité 0,35, alerte rouge localisée en Z5 · </w:t>
      </w:r>
      <w:r>
        <w:rPr>
          <w:i/>
        </w:rPr>
        <w:t>l'outil détecte</w:t>
      </w:r>
    </w:p>
    <w:p>
      <w:r>
        <w:rPr>
          <w:b/>
        </w:rPr>
        <w:t>C4 — recommandation chiffrée de l'agent</w:t>
      </w:r>
      <w:r>
        <w:t xml:space="preserve"> : quel paramètre, de combien</w:t>
      </w:r>
    </w:p>
    <w:p>
      <w:r>
        <w:rPr>
          <w:b/>
        </w:rPr>
        <w:t>C5 — après correction</w:t>
      </w:r>
      <w:r>
        <w:t xml:space="preserve"> → </w:t>
      </w:r>
      <w:r>
        <w:rPr>
          <w:b/>
        </w:rPr>
        <w:t>+32 points</w:t>
      </w:r>
      <w:r>
        <w:t xml:space="preserve">, +0,52 de probabilité, alerte levée · </w:t>
      </w:r>
      <w:r>
        <w:rPr>
          <w:i/>
        </w:rPr>
        <w:t>l'outil est réversible, et sa projection se vérifie</w:t>
      </w:r>
    </w:p>
    <w:p>
      <w:r>
        <w:rPr>
          <w:i/>
        </w:rPr>
        <w:t>Sensibilité, détectabilité, réversibilité : les trois propriétés attendues d'un jumeau numérique d'aide à la décision.</w:t>
      </w:r>
    </w:p>
    <w:p>
      <w:r>
        <w:br w:type="page"/>
      </w:r>
    </w:p>
    <w:p>
      <w:pPr>
        <w:pStyle w:val="Heading1"/>
      </w:pPr>
      <w:r>
        <w:t>Piloter le projet comme un chef de projet</w:t>
      </w:r>
    </w:p>
    <w:p>
      <w:r>
        <w:rPr>
          <w:b/>
        </w:rPr>
        <w:t>Kanban à encours limité (WIP = 1)</w:t>
      </w:r>
      <w:r>
        <w:t xml:space="preserve"> — proposition → validation encadrant → développement → tests → démonstration. Aucune brique entamée avant validation de la précédente.</w:t>
      </w:r>
    </w:p>
    <w:p>
      <w:r>
        <w:rPr>
          <w:b/>
        </w:rPr>
        <w:t>Jalons tenus</w:t>
      </w:r>
      <w:r>
        <w:t xml:space="preserve"> — campagne d'essais du 7 au 13 avril 2026, démonstration client du 16 juin 2026</w:t>
      </w:r>
    </w:p>
    <w:p>
      <w:r>
        <w:rPr>
          <w:b/>
        </w:rPr>
        <w:t>Veille structurée</w:t>
      </w:r>
      <w:r>
        <w:t xml:space="preserve"> — sources scientifiques, concurrentielles et réglementaires, avec fréquences et impacts documentés</w:t>
      </w:r>
    </w:p>
    <w:p>
      <w:r>
        <w:rPr>
          <w:b/>
        </w:rPr>
        <w:t>Risques cartographiés</w:t>
      </w:r>
      <w:r>
        <w:t xml:space="preserve"> — qualité et sécurité des données, éthique, enjeux environnementaux, charte formalisée</w:t>
      </w:r>
    </w:p>
    <w:p>
      <w:r>
        <w:rPr>
          <w:b/>
        </w:rPr>
        <w:t>Douze incidents de production</w:t>
      </w:r>
      <w:r>
        <w:t xml:space="preserve"> tracés, résolus et figés en tests de non-régression</w:t>
      </w:r>
    </w:p>
    <w:p>
      <w:r>
        <w:br w:type="page"/>
      </w:r>
    </w:p>
    <w:p>
      <w:pPr>
        <w:pStyle w:val="Heading1"/>
      </w:pPr>
      <w:r>
        <w:t>Un prototype vérifié comme un produit</w:t>
      </w:r>
    </w:p>
    <w:p>
      <w:r>
        <w:rPr>
          <w:b/>
        </w:rPr>
        <w:t>720</w:t>
      </w:r>
      <w:r>
        <w:t xml:space="preserve"> tests automatisés sur 75 fichiers · </w:t>
      </w:r>
      <w:r>
        <w:rPr>
          <w:b/>
        </w:rPr>
        <w:t>100 % au vert</w:t>
      </w:r>
      <w:r>
        <w:t xml:space="preserve"> · indépendants de l'ordre d'exécution</w:t>
      </w:r>
    </w:p>
    <w:p>
      <w:r>
        <w:t>Six familles : unitaires purs · interface Streamlit · persistance · non-régression · internationalisation · accessibilité</w:t>
      </w:r>
    </w:p>
    <w:p>
      <w:r>
        <w:rPr>
          <w:b/>
        </w:rPr>
        <w:t>×1030</w:t>
      </w:r>
      <w:r>
        <w:t xml:space="preserve"> d'accélération mesurée entre table indexée et non indexée</w:t>
      </w:r>
    </w:p>
    <w:p>
      <w:r>
        <w:rPr>
          <w:b/>
        </w:rPr>
        <w:t>Chaque incident de production est devenu un test.</w:t>
      </w:r>
      <w:r>
        <w:t xml:space="preserve"> C'est ce qui empêche un bug corrigé de revenir.</w:t>
      </w:r>
    </w:p>
    <w:p>
      <w:r>
        <w:rPr>
          <w:i/>
        </w:rPr>
        <w:t>La qualité logicielle n'est pas ici un supplément d'âme : c'est ce qui rend le résultat scientifique crédible.</w:t>
      </w:r>
    </w:p>
    <w:p>
      <w:r>
        <w:br w:type="page"/>
      </w:r>
    </w:p>
    <w:p>
      <w:pPr>
        <w:pStyle w:val="Heading1"/>
      </w:pPr>
      <w:r>
        <w:t>Ce que je retiens</w:t>
      </w:r>
    </w:p>
    <w:p>
      <w:r>
        <w:rPr>
          <w:b/>
        </w:rPr>
        <w:t>Ce qui est acquis</w:t>
      </w:r>
      <w:r>
        <w:t xml:space="preserve"> — un jumeau numérique ancré dans la géométrie réelle de la machine, un agent explicable qui recommande sans décider, un modèle validé sous protocole strict, un outil démontrable devant le client.</w:t>
      </w:r>
    </w:p>
    <w:p>
      <w:r>
        <w:rPr>
          <w:b/>
        </w:rPr>
        <w:t>Ce qui est assumé</w:t>
      </w:r>
      <w:r>
        <w:t xml:space="preserve"> — physique nominale non calibrée industriellement, huit essais d'une seule campagne, pression filière non modélisée.</w:t>
      </w:r>
    </w:p>
    <w:p>
      <w:r>
        <w:rPr>
          <w:b/>
        </w:rPr>
        <w:t>Ce que j'ai vraiment appris</w:t>
      </w:r>
      <w:r>
        <w:t xml:space="preserve"> — j'ai cru avoir débloqué la situation par l'augmentation de données. C'est en auditant mon propre protocole que j'ai découvert que le gain était un artefact. J'aurais pu livrer 0,918 : personne ne l'aurait vu.</w:t>
      </w:r>
    </w:p>
    <w:p>
      <w:pPr>
        <w:ind w:left="480"/>
      </w:pPr>
      <w:r>
        <w:rPr>
          <w:b/>
          <w:i/>
          <w:color w:val="1F4E79"/>
        </w:rPr>
        <w:t>Le facteur limitant n'est ni l'algorithme ni la méthode : c'est le nombre d'essais. Passer d'un indicateur expérimental à un prédicteur industriel exigera de nouvelles campagnes — pas un modèle plus sophistiqué.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