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Rendre un procédé d'extrusion lisible, comparable et prédictible</w:t>
      </w:r>
    </w:p>
    <w:p>
      <w:r>
        <w:rPr>
          <w:b/>
        </w:rPr>
        <w:t>Jumeau numérique et IA explicable pour l'extrusion bivis de composants de batteries tout-solide</w:t>
      </w:r>
    </w:p>
    <w:p>
      <w:r>
        <w:t>Wilfried Galtier MBEUMI · Mastère 2 Data &amp; Intelligence Artificielle · Nexa Digital School</w:t>
      </w:r>
    </w:p>
    <w:p>
      <w:r>
        <w:t>Encadrement industriel : Maël Gallas — Rondol Industrie · Année 2025–2026</w:t>
      </w:r>
    </w:p>
    <w:p>
      <w:r>
        <w:br w:type="page"/>
      </w:r>
    </w:p>
    <w:p>
      <w:pPr>
        <w:pStyle w:val="Heading1"/>
      </w:pPr>
      <w:r>
        <w:t>Le verrou : on sait faire la chimie, pas la mise en forme</w:t>
      </w:r>
    </w:p>
    <w:p>
      <w:r>
        <w:t xml:space="preserve">Les batteries tout-solide promettent plus de densité d'énergie et moins de risque d'incendie. Le blocage n'est plus chimique : il est </w:t>
      </w:r>
      <w:r>
        <w:rPr>
          <w:b/>
        </w:rPr>
        <w:t>procédé</w:t>
      </w:r>
      <w:r>
        <w:t>.</w:t>
      </w:r>
    </w:p>
    <w:p>
      <w:r>
        <w:t>La voie humide solvantée reste dominante alors qu'elle impose la NMP, un solvant classé toxique pour la reproduction, et un séchage énergivore.</w:t>
      </w:r>
    </w:p>
    <w:p>
      <w:r>
        <w:t xml:space="preserve">L'extrusion bivis sèche ou semi-sèche est une alternative continue et sans solvant. C'est le savoir-faire historique de Rondol. Mais elle est </w:t>
      </w:r>
      <w:r>
        <w:rPr>
          <w:b/>
        </w:rPr>
        <w:t>très peu documentée</w:t>
      </w:r>
      <w:r>
        <w:t xml:space="preserve"> pour ces formulations céramiques abrasives.</w:t>
      </w:r>
    </w:p>
    <w:p>
      <w:r>
        <w:rPr>
          <w:i/>
        </w:rPr>
        <w:t>Marché aval : 0,26 Md USD en 2025 → 1,77 Md USD en 2031 (TCAC 37,5 %) selon MarketsandMarkets ; Grand View Research retient 1,60 → 15,65 Md USD (TCAC 31,8 %). L'écart entre ces estimations dit tout du caractère pré-industriel du secteur.</w:t>
      </w:r>
    </w:p>
    <w:p>
      <w:r>
        <w:br w:type="page"/>
      </w:r>
    </w:p>
    <w:p>
      <w:pPr>
        <w:pStyle w:val="Heading1"/>
      </w:pPr>
      <w:r>
        <w:t>Chez Rondol, le problème est concret</w:t>
      </w:r>
    </w:p>
    <w:p>
      <w:r>
        <w:rPr>
          <w:b/>
        </w:rPr>
        <w:t>81</w:t>
      </w:r>
      <w:r>
        <w:t xml:space="preserve"> positions de vis à configurer — un espace combinatoire que personne ne peut explorer à la main</w:t>
      </w:r>
    </w:p>
    <w:p>
      <w:r>
        <w:rPr>
          <w:b/>
        </w:rPr>
        <w:t>13</w:t>
      </w:r>
      <w:r>
        <w:t xml:space="preserve"> types d'éléments disponibles, chacun changeant l'écoulement, le cisaillement et le temps de séjour</w:t>
      </w:r>
    </w:p>
    <w:p>
      <w:r>
        <w:rPr>
          <w:b/>
        </w:rPr>
        <w:t>12</w:t>
      </w:r>
      <w:r>
        <w:t xml:space="preserve"> capteurs de température qui produisent des données… utilisées pour la surveillance, jamais pour l'anticipation</w:t>
      </w:r>
    </w:p>
    <w:p>
      <w:r>
        <w:rPr>
          <w:b/>
        </w:rPr>
        <w:t>8</w:t>
      </w:r>
      <w:r>
        <w:t xml:space="preserve"> essais exploitables seulement — la campagne du 7 au 13 avril 2026</w:t>
      </w:r>
    </w:p>
    <w:p>
      <w:r>
        <w:t>L'opérateur règle par expérience. Rien ne compare deux configurations. Rien n'anticipe une dérive.</w:t>
      </w:r>
    </w:p>
    <w:p>
      <w:r>
        <w:br w:type="page"/>
      </w:r>
    </w:p>
    <w:p>
      <w:pPr>
        <w:pStyle w:val="Heading1"/>
      </w:pPr>
      <w:r>
        <w:t>La problématique</w:t>
      </w:r>
    </w:p>
    <w:p>
      <w:pPr>
        <w:ind w:left="480"/>
      </w:pPr>
      <w:r>
        <w:rPr>
          <w:b/>
          <w:i/>
          <w:color w:val="1F4E79"/>
        </w:rPr>
        <w:t>Comment concevoir un système d'aide à la décision qui rende un procédé d'extrusion bivis lisible, comparable et prédictible — sans jamais devenir une boîte noire ?</w:t>
      </w:r>
    </w:p>
    <w:p>
      <w:r>
        <w:t>Trois exigences non négociables, fixées dès le cadrage :</w:t>
      </w:r>
    </w:p>
    <w:p>
      <w:r>
        <w:rPr>
          <w:b/>
        </w:rPr>
        <w:t>Traçable</w:t>
      </w:r>
      <w:r>
        <w:t xml:space="preserve"> — toute valeur affichée doit pouvoir être expliquée à un ingénieur procédé</w:t>
      </w:r>
    </w:p>
    <w:p>
      <w:r>
        <w:rPr>
          <w:b/>
        </w:rPr>
        <w:t>Honnête</w:t>
      </w:r>
      <w:r>
        <w:t xml:space="preserve"> — ce qui n'est pas calibré industriellement est annoncé comme tel</w:t>
      </w:r>
    </w:p>
    <w:p>
      <w:r>
        <w:rPr>
          <w:b/>
        </w:rPr>
        <w:t>Démontrable</w:t>
      </w:r>
      <w:r>
        <w:t xml:space="preserve"> — un outil réellement utilisable devant le client, pas une maquette</w:t>
      </w:r>
    </w:p>
    <w:p>
      <w:r>
        <w:br w:type="page"/>
      </w:r>
    </w:p>
    <w:p>
      <w:pPr>
        <w:pStyle w:val="Heading1"/>
      </w:pPr>
      <w:r>
        <w:t>Une architecture en couches : envelopper, ne pas recalculer</w:t>
      </w:r>
    </w:p>
    <w:p>
      <w:r>
        <w:rPr>
          <w:b/>
        </w:rPr>
        <w:t>Couche 0 — le backbone</w:t>
      </w:r>
      <w:r>
        <w:t xml:space="preserve"> </w:t>
      </w:r>
      <w:r>
        <w:rPr>
          <w:rFonts w:ascii="Consolas" w:hAnsi="Consolas"/>
          <w:sz w:val="20"/>
        </w:rPr>
        <w:t>screw_logic.py</w:t>
      </w:r>
      <w:r>
        <w:t xml:space="preserve"> · « Network 7 » sur 81 positions. Source unique du remplissage, du temps de séjour et des volumes.</w:t>
      </w:r>
    </w:p>
    <w:p>
      <w:r>
        <w:rPr>
          <w:b/>
        </w:rPr>
        <w:t>Couche 1 — packages purs</w:t>
      </w:r>
      <w:r>
        <w:t xml:space="preserve"> </w:t>
      </w:r>
      <w:r>
        <w:rPr>
          <w:rFonts w:ascii="Consolas" w:hAnsi="Consolas"/>
          <w:sz w:val="20"/>
        </w:rPr>
        <w:t>machine/</w:t>
      </w:r>
      <w:r>
        <w:t xml:space="preserve"> </w:t>
      </w:r>
      <w:r>
        <w:rPr>
          <w:rFonts w:ascii="Consolas" w:hAnsi="Consolas"/>
          <w:sz w:val="20"/>
        </w:rPr>
        <w:t>materials/</w:t>
      </w:r>
      <w:r>
        <w:t xml:space="preserve"> </w:t>
      </w:r>
      <w:r>
        <w:rPr>
          <w:rFonts w:ascii="Consolas" w:hAnsi="Consolas"/>
          <w:sz w:val="20"/>
        </w:rPr>
        <w:t>physics/</w:t>
      </w:r>
      <w:r>
        <w:t xml:space="preserve"> — catalogues et formules bâtis </w:t>
      </w:r>
      <w:r>
        <w:rPr>
          <w:i/>
        </w:rPr>
        <w:t>sur</w:t>
      </w:r>
      <w:r>
        <w:t xml:space="preserve"> le backbone, jamais en concurrence avec lui.</w:t>
      </w:r>
    </w:p>
    <w:p>
      <w:r>
        <w:rPr>
          <w:b/>
        </w:rPr>
        <w:t>Couche 2 — le moteur</w:t>
      </w:r>
      <w:r>
        <w:t xml:space="preserve"> </w:t>
      </w:r>
      <w:r>
        <w:rPr>
          <w:rFonts w:ascii="Consolas" w:hAnsi="Consolas"/>
          <w:sz w:val="20"/>
        </w:rPr>
        <w:t>engine/</w:t>
      </w:r>
      <w:r>
        <w:t xml:space="preserve"> — état local position par position : viscosité η(γ̇,T), couple, agrégats par zone.</w:t>
      </w:r>
    </w:p>
    <w:p>
      <w:r>
        <w:rPr>
          <w:b/>
        </w:rPr>
        <w:t>Couche 3 — l'agent</w:t>
      </w:r>
      <w:r>
        <w:t xml:space="preserve"> règles métier explicables → alertes et recommandations chiffrées.</w:t>
      </w:r>
    </w:p>
    <w:p>
      <w:r>
        <w:rPr>
          <w:b/>
        </w:rPr>
        <w:t>Couche 4 — l'interface</w:t>
      </w:r>
      <w:r>
        <w:t xml:space="preserve"> 7 pages Streamlit, bilingue, persistance en trois couches.</w:t>
      </w:r>
    </w:p>
    <w:p>
      <w:r>
        <w:rPr>
          <w:i/>
        </w:rPr>
        <w:t xml:space="preserve">Principe fondateur : le calcul procédé est appelé </w:t>
      </w:r>
      <w:r>
        <w:rPr>
          <w:i/>
        </w:rPr>
        <w:t>une seule fois</w:t>
      </w:r>
      <w:r>
        <w:rPr>
          <w:i/>
        </w:rPr>
        <w:t>. Tout le reste réutilise son résultat au lieu de le recalculer — c'est ce qui garantit qu'aucun chiffre affiché ne peut contredire un autre.</w:t>
      </w:r>
    </w:p>
    <w:p>
      <w:r>
        <w:br w:type="page"/>
      </w:r>
    </w:p>
    <w:p>
      <w:pPr>
        <w:pStyle w:val="Heading1"/>
      </w:pPr>
      <w:r>
        <w:t>Le cœur métier : la vis, modélisée position par position</w:t>
      </w:r>
    </w:p>
    <w:p>
      <w:r>
        <w:t xml:space="preserve">Chaque configuration devient un objet </w:t>
      </w:r>
      <w:r>
        <w:rPr>
          <w:b/>
        </w:rPr>
        <w:t>calculable, comparable, historisable</w:t>
      </w:r>
      <w:r>
        <w:t>.</w:t>
      </w:r>
    </w:p>
    <w:p>
      <w:r>
        <w:t>Convoyage → Malaxage / cisaillement → Restriction → Pompage filière</w:t>
      </w:r>
    </w:p>
    <w:p>
      <w:r>
        <w:t>De la géométrie réelle de la machine, le moteur dérive le taux de remplissage, le temps de séjour, le volume occupé et le volume libre — puis les agrège par zone thermique.</w:t>
      </w:r>
    </w:p>
    <w:p>
      <w:r>
        <w:rPr>
          <w:i/>
        </w:rPr>
        <w:t>Ce n'est pas un modèle générique d'extrusion : c'est la géométrie de l'extrudeuse Ø 10,5 mm de Rondol, élément par élément.</w:t>
      </w:r>
    </w:p>
    <w:p>
      <w:r>
        <w:br w:type="page"/>
      </w:r>
    </w:p>
    <w:p>
      <w:pPr>
        <w:pStyle w:val="Heading1"/>
      </w:pPr>
      <w:r>
        <w:t>La physique embarquée — nominale, et annoncée comme telle</w:t>
      </w:r>
    </w:p>
    <w:p>
      <w:r>
        <w:rPr>
          <w:b/>
        </w:rPr>
        <w:t>Viscosité locale</w:t>
      </w:r>
      <w:r>
        <w:t xml:space="preserve"> — Carreau-Yasuda couplé à une loi d'Arrhenius, avec des presets rhéologiques par matière (LFP, LATP, liants fluorés)</w:t>
      </w:r>
    </w:p>
    <w:p>
      <w:r>
        <w:rPr>
          <w:b/>
        </w:rPr>
        <w:t>Couple local</w:t>
      </w:r>
      <w:r>
        <w:t xml:space="preserve"> — M = η·γ̇²·V_rempli / (2πN), calculé nœud par nœud puis agrégé</w:t>
      </w:r>
    </w:p>
    <w:p>
      <w:r>
        <w:rPr>
          <w:b/>
        </w:rPr>
        <w:t>Équation thermique</w:t>
      </w:r>
      <w:r>
        <w:t xml:space="preserve"> — T_réel = T_consigne + (2πN·M)/(ṁ·Cp) + k·τ, imposée par l'encadrement industriel</w:t>
      </w:r>
    </w:p>
    <w:p>
      <w:r>
        <w:rPr>
          <w:b/>
        </w:rPr>
        <w:t>Ce qui n'est pas fait est écrit</w:t>
      </w:r>
      <w:r>
        <w:t xml:space="preserve"> — énergie mécanique locale, température avancée et pression filière restent des briques différées, affichées « À venir » dans l'interface plutôt que remplies de valeurs plausibles.</w:t>
      </w:r>
    </w:p>
    <w:p>
      <w:r>
        <w:br w:type="page"/>
      </w:r>
    </w:p>
    <w:p>
      <w:pPr>
        <w:pStyle w:val="Heading1"/>
      </w:pPr>
      <w:r>
        <w:t>Un agent explicable, pas un classifieur déguisé</w:t>
      </w:r>
    </w:p>
    <w:p>
      <w:r>
        <w:t xml:space="preserve">État procédé → </w:t>
      </w:r>
      <w:r>
        <w:rPr>
          <w:b/>
        </w:rPr>
        <w:t>règles métier explicites</w:t>
      </w:r>
      <w:r>
        <w:t xml:space="preserve"> → alertes → recommandations chiffrées</w:t>
      </w:r>
    </w:p>
    <w:p>
      <w:r>
        <w:t xml:space="preserve">Chaque alerte cite sa </w:t>
      </w:r>
      <w:r>
        <w:rPr>
          <w:b/>
        </w:rPr>
        <w:t>preuve chiffrée</w:t>
      </w:r>
      <w:r>
        <w:t xml:space="preserve"> :</w:t>
      </w:r>
    </w:p>
    <w:p>
      <w:pPr>
        <w:ind w:left="480"/>
      </w:pPr>
      <w:r>
        <w:rPr>
          <w:rFonts w:ascii="Consolas" w:hAnsi="Consolas"/>
          <w:i/>
          <w:color w:val="1F4E79"/>
          <w:sz w:val="20"/>
        </w:rPr>
        <w:t>SME = 0,60 kWh/kg · seuil de vigilance = 0,30 · source : KPIs vis (état appliqué)</w:t>
      </w:r>
    </w:p>
    <w:p>
      <w:r>
        <w:t xml:space="preserve">Chaque recommandation est </w:t>
      </w:r>
      <w:r>
        <w:rPr>
          <w:b/>
        </w:rPr>
        <w:t>actionnable</w:t>
      </w:r>
      <w:r>
        <w:t xml:space="preserve"> : quel paramètre, dans quel sens, de combien.</w:t>
      </w:r>
    </w:p>
    <w:p>
      <w:r>
        <w:rPr>
          <w:b/>
        </w:rPr>
        <w:t>La décision n'est jamais confiée au modèle statistique.</w:t>
      </w:r>
      <w:r>
        <w:t xml:space="preserve"> Le modèle prédit un score de stabilité ; les règles recommandent ; l'humain tranche. Cette séparation est la garantie d'explicabilité du dispositif.</w:t>
      </w:r>
    </w:p>
    <w:p>
      <w:r>
        <w:br w:type="page"/>
      </w:r>
    </w:p>
    <w:p>
      <w:pPr>
        <w:pStyle w:val="Heading1"/>
      </w:pPr>
      <w:r>
        <w:t>Les données : une campagne réelle, et son revers</w:t>
      </w:r>
    </w:p>
    <w:p>
      <w:r>
        <w:rPr>
          <w:b/>
        </w:rPr>
        <w:t>310 782</w:t>
      </w:r>
      <w:r>
        <w:t xml:space="preserve"> relevés bruts · 12 capteurs · 12 fichiers CSV · 25,8 Mo</w:t>
      </w:r>
    </w:p>
    <w:p>
      <w:r>
        <w:rPr>
          <w:b/>
        </w:rPr>
        <w:t>10 à 16 %</w:t>
      </w:r>
      <w:r>
        <w:t xml:space="preserve"> de couverture par capteur — acquisition fragmentée, codes d'erreur thermocouple à 3276,7 °C, doublons</w:t>
      </w:r>
    </w:p>
    <w:p>
      <w:r>
        <w:rPr>
          <w:b/>
        </w:rPr>
        <w:t>627</w:t>
      </w:r>
      <w:r>
        <w:t xml:space="preserve"> fenêtres exploitables de 60 s après nettoyage et fenêtrage</w:t>
      </w:r>
    </w:p>
    <w:p>
      <w:r>
        <w:rPr>
          <w:b/>
        </w:rPr>
        <w:t>87</w:t>
      </w:r>
      <w:r>
        <w:t xml:space="preserve"> variables : 12 capteurs × 7 statistiques + 3 gradients croisés</w:t>
      </w:r>
    </w:p>
    <w:p>
      <w:r>
        <w:t>Puis la contrainte structurante, celle qui a tout conditionné :</w:t>
      </w:r>
    </w:p>
    <w:p>
      <w:pPr>
        <w:ind w:left="480"/>
      </w:pPr>
      <w:r>
        <w:rPr>
          <w:b/>
          <w:i/>
          <w:color w:val="1F4E79"/>
        </w:rPr>
        <w:t>Huit essais. C'est peu. Je l'ai traité comme la limite du projet, pas comme un détail à contourner.</w:t>
      </w:r>
    </w:p>
    <w:p>
      <w:r>
        <w:br w:type="page"/>
      </w:r>
    </w:p>
    <w:p>
      <w:pPr>
        <w:pStyle w:val="Heading1"/>
      </w:pPr>
      <w:r>
        <w:t>Le pipeline ML — la rigueur avant la performance</w:t>
      </w:r>
    </w:p>
    <w:p>
      <w:r>
        <w:rPr>
          <w:b/>
        </w:rPr>
        <w:t>Séparation par essai.</w:t>
      </w:r>
      <w:r>
        <w:t xml:space="preserve"> Les fenêtres d'un même essai sont fortement autocorrélées : les répartir au hasard ferait fuir l'information et gonflerait les scores.</w:t>
      </w:r>
    </w:p>
    <w:p>
      <w:r>
        <w:rPr>
          <w:b/>
        </w:rPr>
        <w:t>Cible décalée d'une fenêtre</w:t>
      </w:r>
      <w:r>
        <w:t xml:space="preserve"> — on prédit l'état futur, pas l'état courant.</w:t>
      </w:r>
    </w:p>
    <w:p>
      <w:r>
        <w:rPr>
          <w:b/>
        </w:rPr>
        <w:t>Leave-One-Group-Out</w:t>
      </w:r>
      <w:r>
        <w:t xml:space="preserve"> — chaque essai est écarté à son tour. Entraînement sur </w:t>
      </w:r>
      <w:r>
        <w:rPr>
          <w:b/>
        </w:rPr>
        <w:t>87,5 % des fenêtres en moyenne</w:t>
      </w:r>
      <w:r>
        <w:t>.</w:t>
      </w:r>
    </w:p>
    <w:p>
      <w:r>
        <w:t>L'écart entre protocoles est spectaculaire, et il faut le regarder en face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Protocole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F1-macro</w:t>
            </w:r>
          </w:p>
        </w:tc>
      </w:tr>
      <w:tr>
        <w:tc>
          <w:tcPr>
            <w:tcW w:type="dxa" w:w="4320"/>
          </w:tcPr>
          <w:p>
            <w:r/>
            <w:r>
              <w:t>Partition aléatoire naïve</w:t>
            </w:r>
          </w:p>
        </w:tc>
        <w:tc>
          <w:tcPr>
            <w:tcW w:type="dxa" w:w="4320"/>
          </w:tcPr>
          <w:p>
            <w:r/>
            <w:r>
              <w:t>0,92</w:t>
            </w:r>
          </w:p>
        </w:tc>
      </w:tr>
      <w:tr>
        <w:tc>
          <w:tcPr>
            <w:tcW w:type="dxa" w:w="4320"/>
          </w:tcPr>
          <w:p>
            <w:r/>
            <w:r>
              <w:t>Séparation stricte par essai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0,79</w:t>
            </w:r>
          </w:p>
        </w:tc>
      </w:tr>
    </w:tbl>
    <w:p>
      <w:r>
        <w:rPr>
          <w:i/>
        </w:rPr>
        <w:t>Quinze points d'écart. Ce n'est pas un défaut à cacher : c'est la mesure de ce que vaut vraiment le modèle.</w:t>
      </w:r>
    </w:p>
    <w:p>
      <w:r>
        <w:br w:type="page"/>
      </w:r>
    </w:p>
    <w:p>
      <w:pPr>
        <w:pStyle w:val="Heading1"/>
      </w:pPr>
      <w:r>
        <w:t>Premier résultat : ce que je croyais avoir obtenu</w:t>
      </w:r>
    </w:p>
    <w:p>
      <w:r>
        <w:t xml:space="preserve">Huit essais, c'est trop peu. J'ai donc généré </w:t>
      </w:r>
      <w:r>
        <w:rPr>
          <w:b/>
        </w:rPr>
        <w:t>800 fenêtres synthétiques</w:t>
      </w:r>
      <w:r>
        <w:t xml:space="preserve"> à partir de l'échantillon réel — bootstrap conditionné par classe, jitter borné, imperfections des capteurs reproduites — injectées à l'entraînement uniquement.</w:t>
      </w:r>
    </w:p>
    <w:p>
      <w:r>
        <w:t>Le gain paraissait net :</w:t>
      </w:r>
    </w:p>
    <w:p>
      <w:r>
        <w:rPr>
          <w:b/>
        </w:rPr>
        <w:t>Random Forest : 0,809 → 0,918</w:t>
      </w:r>
      <w:r>
        <w:t xml:space="preserve"> de F1-macro</w:t>
      </w:r>
    </w:p>
    <w:p>
      <w:r>
        <w:rPr>
          <w:b/>
        </w:rPr>
        <w:t>Écart-type divisé par plus de trois</w:t>
      </w:r>
      <w:r>
        <w:t xml:space="preserve"> (0,176 → 0,054)</w:t>
      </w:r>
    </w:p>
    <w:p>
      <w:r>
        <w:t>J'ai présenté ce résultat comme l'aboutissement du volet prédictif.</w:t>
      </w:r>
    </w:p>
    <w:p>
      <w:r>
        <w:rPr>
          <w:i/>
        </w:rPr>
        <w:t>Il était faux.</w:t>
      </w:r>
    </w:p>
    <w:p>
      <w:r>
        <w:br w:type="page"/>
      </w:r>
    </w:p>
    <w:p>
      <w:pPr>
        <w:pStyle w:val="Heading1"/>
      </w:pPr>
      <w:r>
        <w:t>L'audit : une fuite par ancrage</w:t>
      </w:r>
    </w:p>
    <w:p>
      <w:r>
        <w:t>En auditant mon propre pipeline à la demande de l'encadrement industriel, j'ai trouvé le défaut.</w:t>
      </w:r>
    </w:p>
    <w:p>
      <w:r>
        <w:t xml:space="preserve">Le pool synthétique était généré </w:t>
      </w:r>
      <w:r>
        <w:rPr>
          <w:b/>
        </w:rPr>
        <w:t>une seule fois, à partir des huit essais réels</w:t>
      </w:r>
      <w:r>
        <w:t xml:space="preserve"> — puis réutilisé dans chaque pli.</w:t>
      </w:r>
    </w:p>
    <w:p>
      <w:r>
        <w:t xml:space="preserve">L'essai censé être exclu avait donc contribué </w:t>
      </w:r>
      <w:r>
        <w:rPr>
          <w:b/>
        </w:rPr>
        <w:t>indirectement</w:t>
      </w:r>
      <w:r>
        <w:t xml:space="preserve"> à l'entraînement : ses fenêtres servaient de </w:t>
      </w:r>
      <w:r>
        <w:rPr>
          <w:b/>
        </w:rPr>
        <w:t>points d'ancrage</w:t>
      </w:r>
      <w:r>
        <w:t xml:space="preserve"> au bootstrap, ses valeurs alimentaient les écarts-types pilotant le jitter.</w:t>
      </w:r>
    </w:p>
    <w:p>
      <w:r>
        <w:t xml:space="preserve">Le pli de test ne contenait aucune fenêtre synthétique. </w:t>
      </w:r>
      <w:r>
        <w:rPr>
          <w:b/>
        </w:rPr>
        <w:t>La fuite était invisible à la lecture du code.</w:t>
      </w:r>
    </w:p>
    <w:p>
      <w:r>
        <w:rPr>
          <w:b/>
        </w:rPr>
        <w:t>La correction :</w:t>
      </w:r>
      <w:r>
        <w:t xml:space="preserve"> régénérer le pool à chaque pli, à partir des seuls essais d'entraînement — même algorithme, même volume, même graine.</w:t>
      </w:r>
    </w:p>
    <w:p>
      <w:r>
        <w:br w:type="page"/>
      </w:r>
    </w:p>
    <w:p>
      <w:pPr>
        <w:pStyle w:val="Heading1"/>
      </w:pPr>
      <w:r>
        <w:t>Le vrai résultat : le gain disparaît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Modèle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Sans augmentation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 xml:space="preserve">Augmentation globale </w:t>
            </w:r>
            <w:r>
              <w:rPr>
                <w:b/>
                <w:i/>
              </w:rPr>
              <w:t>(fuitée)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Augmentation par pli</w:t>
            </w:r>
          </w:p>
        </w:tc>
      </w:tr>
      <w:tr>
        <w:tc>
          <w:tcPr>
            <w:tcW w:type="dxa" w:w="2160"/>
          </w:tcPr>
          <w:p>
            <w:r/>
            <w:r>
              <w:t>SVM (RBF)</w:t>
            </w:r>
          </w:p>
        </w:tc>
        <w:tc>
          <w:tcPr>
            <w:tcW w:type="dxa" w:w="2160"/>
          </w:tcPr>
          <w:p>
            <w:r/>
            <w:r>
              <w:t>0,805</w:t>
            </w:r>
          </w:p>
        </w:tc>
        <w:tc>
          <w:tcPr>
            <w:tcW w:type="dxa" w:w="2160"/>
          </w:tcPr>
          <w:p>
            <w:r/>
            <w:r>
              <w:t>0,868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0,824</w:t>
            </w:r>
          </w:p>
        </w:tc>
      </w:tr>
      <w:tr>
        <w:tc>
          <w:tcPr>
            <w:tcW w:type="dxa" w:w="2160"/>
          </w:tcPr>
          <w:p>
            <w:r/>
            <w:r>
              <w:t>Régression logistique</w:t>
            </w:r>
          </w:p>
        </w:tc>
        <w:tc>
          <w:tcPr>
            <w:tcW w:type="dxa" w:w="2160"/>
          </w:tcPr>
          <w:p>
            <w:r/>
            <w:r>
              <w:t>0,799</w:t>
            </w:r>
          </w:p>
        </w:tc>
        <w:tc>
          <w:tcPr>
            <w:tcW w:type="dxa" w:w="2160"/>
          </w:tcPr>
          <w:p>
            <w:r/>
            <w:r>
              <w:t>0,860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0,809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Random Forest</w:t>
            </w:r>
          </w:p>
        </w:tc>
        <w:tc>
          <w:tcPr>
            <w:tcW w:type="dxa" w:w="2160"/>
          </w:tcPr>
          <w:p>
            <w:r/>
            <w:r>
              <w:t>0,809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0,918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0,809</w:t>
            </w:r>
          </w:p>
        </w:tc>
      </w:tr>
      <w:tr>
        <w:tc>
          <w:tcPr>
            <w:tcW w:type="dxa" w:w="2160"/>
          </w:tcPr>
          <w:p>
            <w:r/>
            <w:r>
              <w:t>XGBoost</w:t>
            </w:r>
          </w:p>
        </w:tc>
        <w:tc>
          <w:tcPr>
            <w:tcW w:type="dxa" w:w="2160"/>
          </w:tcPr>
          <w:p>
            <w:r/>
            <w:r>
              <w:t>0,757</w:t>
            </w:r>
          </w:p>
        </w:tc>
        <w:tc>
          <w:tcPr>
            <w:tcW w:type="dxa" w:w="2160"/>
          </w:tcPr>
          <w:p>
            <w:r/>
            <w:r>
              <w:t>0,900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0,801</w:t>
            </w:r>
          </w:p>
        </w:tc>
      </w:tr>
      <w:tr>
        <w:tc>
          <w:tcPr>
            <w:tcW w:type="dxa" w:w="2160"/>
          </w:tcPr>
          <w:p>
            <w:r/>
            <w:r>
              <w:t>Réseau de neurones</w:t>
            </w:r>
          </w:p>
        </w:tc>
        <w:tc>
          <w:tcPr>
            <w:tcW w:type="dxa" w:w="2160"/>
          </w:tcPr>
          <w:p>
            <w:r/>
            <w:r>
              <w:t>0,778</w:t>
            </w:r>
          </w:p>
        </w:tc>
        <w:tc>
          <w:tcPr>
            <w:tcW w:type="dxa" w:w="2160"/>
          </w:tcPr>
          <w:p>
            <w:r/>
            <w:r>
              <w:t>0,862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0,781</w:t>
            </w:r>
          </w:p>
        </w:tc>
      </w:tr>
    </w:tbl>
    <w:p>
      <w:r>
        <w:t xml:space="preserve">Sur le Random Forest, le gain passe de </w:t>
      </w:r>
      <w:r>
        <w:rPr>
          <w:b/>
        </w:rPr>
        <w:t>+0,109 à −0,001</w:t>
      </w:r>
      <w:r>
        <w:t>.</w:t>
      </w:r>
    </w:p>
    <w:p>
      <w:r>
        <w:t xml:space="preserve">Aucun modèle n'atteint 0,85. Les cinq restent groupés entre 0,78 et 0,82, pour des écarts-types de 0,13 à 0,17 : </w:t>
      </w:r>
      <w:r>
        <w:rPr>
          <w:b/>
        </w:rPr>
        <w:t>statistiquement indiscernables</w:t>
      </w:r>
      <w:r>
        <w:t>.</w:t>
      </w:r>
    </w:p>
    <w:p>
      <w:r>
        <w:br w:type="page"/>
      </w:r>
    </w:p>
    <w:p>
      <w:pPr>
        <w:pStyle w:val="Heading1"/>
      </w:pPr>
      <w:r>
        <w:t>Pourquoi je le dis plutôt que de le taire</w:t>
      </w:r>
    </w:p>
    <w:p>
      <w:r>
        <w:rPr>
          <w:b/>
        </w:rPr>
        <w:t>Déontologique</w:t>
      </w:r>
      <w:r>
        <w:t xml:space="preserve"> — annoncer 0,918 à Rondol aurait été une promesse que le modèle n'aurait pas tenue en production.</w:t>
      </w:r>
    </w:p>
    <w:p>
      <w:r>
        <w:rPr>
          <w:b/>
        </w:rPr>
        <w:t>Méthodologique</w:t>
      </w:r>
      <w:r>
        <w:t xml:space="preserve"> — cette fuite illustre mieux que n'importe quel développement réussi le point central de mon travail : </w:t>
      </w:r>
      <w:r>
        <w:rPr>
          <w:i/>
        </w:rPr>
        <w:t>la performance est une propriété du protocole d'évaluation autant que de l'algorithme.</w:t>
      </w:r>
    </w:p>
    <w:p>
      <w:r>
        <w:rPr>
          <w:b/>
        </w:rPr>
        <w:t>Pratique</w:t>
      </w:r>
      <w:r>
        <w:t xml:space="preserve"> — prédictions par pli, métriques et générateur corrigé sont livrés dans le dépôt. Chaque chiffre est recalculable et contestable.</w:t>
      </w:r>
    </w:p>
    <w:p>
      <w:pPr>
        <w:ind w:left="480"/>
      </w:pPr>
      <w:r>
        <w:rPr>
          <w:b/>
          <w:i/>
          <w:color w:val="1F4E79"/>
        </w:rPr>
        <w:t>Le modèle retenu reste le Random Forest — non pour son score, mais pour son interprétabilité, sa tolérance aux capteurs manquants et sa stabilité inter-essais (l'écart-type le plus faible des cinq).</w:t>
      </w:r>
    </w:p>
    <w:p>
      <w:r>
        <w:br w:type="page"/>
      </w:r>
    </w:p>
    <w:p>
      <w:pPr>
        <w:pStyle w:val="Heading1"/>
      </w:pPr>
      <w:r>
        <w:t>Épreuve de transférabilité : validation externe</w:t>
      </w:r>
    </w:p>
    <w:p>
      <w:r>
        <w:t xml:space="preserve">Pour tester la généralisation sans attendre une nouvelle campagne, j'ai généré une base continue de 100 800 lignes à partir de l'échantillon réel, puis soumis le modèle </w:t>
      </w:r>
      <w:r>
        <w:rPr>
          <w:b/>
        </w:rPr>
        <w:t>sans réentraînement</w:t>
      </w:r>
      <w:r>
        <w:t>.</w:t>
      </w:r>
    </w:p>
    <w:p>
      <w:r>
        <w:rPr>
          <w:b/>
        </w:rPr>
        <w:t>3 479</w:t>
      </w:r>
      <w:r>
        <w:t xml:space="preserve"> fenêtres · </w:t>
      </w:r>
      <w:r>
        <w:rPr>
          <w:b/>
        </w:rPr>
        <w:t>15</w:t>
      </w:r>
      <w:r>
        <w:t xml:space="preserve"> runs simulés</w:t>
      </w:r>
    </w:p>
    <w:p>
      <w:r>
        <w:rPr>
          <w:b/>
        </w:rPr>
        <w:t>AUC 0,753</w:t>
      </w:r>
      <w:r>
        <w:t xml:space="preserve"> — le pouvoir discriminant subsiste</w:t>
      </w:r>
    </w:p>
    <w:p>
      <w:r>
        <w:rPr>
          <w:b/>
        </w:rPr>
        <w:t>62 %</w:t>
      </w:r>
      <w:r>
        <w:t xml:space="preserve"> des fenêtres instables détectées, avec des erreurs majoritairement </w:t>
      </w:r>
      <w:r>
        <w:rPr>
          <w:b/>
        </w:rPr>
        <w:t>conservatrices</w:t>
      </w:r>
      <w:r>
        <w:t xml:space="preserve"> : fausses alertes plutôt que dérives manquées</w:t>
      </w:r>
    </w:p>
    <w:p>
      <w:r>
        <w:rPr>
          <w:i/>
        </w:rPr>
        <w:t>La génération n'a volontairement pas été ajustée pour flatter ces chiffres. L'écart avec les essais réels mesure la sensibilité au changement de distribution — et confirme le statut de l'outil : indicateur d'aide à la décision, pas détecteur certifié.</w:t>
      </w:r>
    </w:p>
    <w:p>
      <w:r>
        <w:br w:type="page"/>
      </w:r>
    </w:p>
    <w:p>
      <w:pPr>
        <w:pStyle w:val="Heading1"/>
      </w:pPr>
      <w:r>
        <w:t>L'application : une HMI industrielle, pas un tableau de bord</w:t>
      </w:r>
    </w:p>
    <w:p>
      <w:r>
        <w:rPr>
          <w:b/>
        </w:rPr>
        <w:t>7 pages</w:t>
      </w:r>
      <w:r>
        <w:t xml:space="preserve"> — Supervision · Profil de vis · Paramètres IA · Analyse de run · Historique · Moteur procédé · Compte</w:t>
      </w:r>
    </w:p>
    <w:p>
      <w:r>
        <w:rPr>
          <w:b/>
        </w:rPr>
        <w:t>Persistance en trois couches</w:t>
      </w:r>
      <w:r>
        <w:t xml:space="preserve"> — édition → état validé → historique. L'opérateur ne perd jamais son travail, même après un redémarrage du serveur.</w:t>
      </w:r>
    </w:p>
    <w:p>
      <w:r>
        <w:rPr>
          <w:b/>
        </w:rPr>
        <w:t>Bilingue</w:t>
      </w:r>
      <w:r>
        <w:t xml:space="preserve"> FR / EN · </w:t>
      </w:r>
      <w:r>
        <w:rPr>
          <w:b/>
        </w:rPr>
        <w:t>accès protégé</w:t>
      </w:r>
      <w:r>
        <w:t xml:space="preserve"> (mots de passe hachés PBKDF2, jamais en clair)</w:t>
      </w:r>
    </w:p>
    <w:p>
      <w:r>
        <w:rPr>
          <w:b/>
        </w:rPr>
        <w:t>Accessible</w:t>
      </w:r>
      <w:r>
        <w:t xml:space="preserve"> — contrastes mesurés de 6,38:1 à 18,39:1, tous conformes WCAG 2.1 AA ; schéma de vis doté d'une alternative textuelle</w:t>
      </w:r>
    </w:p>
    <w:p>
      <w:r>
        <w:rPr>
          <w:b/>
        </w:rPr>
        <w:t>En ligne</w:t>
      </w:r>
      <w:r>
        <w:t xml:space="preserve"> — rondol-process-supervision-demo.streamlit.app</w:t>
      </w:r>
    </w:p>
    <w:p>
      <w:r>
        <w:br w:type="page"/>
      </w:r>
    </w:p>
    <w:p>
      <w:pPr>
        <w:pStyle w:val="Heading1"/>
      </w:pPr>
      <w:r>
        <w:t>Cinq cas pour prouver que l'outil réagit juste</w:t>
      </w:r>
    </w:p>
    <w:p>
      <w:r>
        <w:rPr>
          <w:b/>
        </w:rPr>
        <w:t>C1 — référence</w:t>
      </w:r>
      <w:r>
        <w:t xml:space="preserve"> formulation lithiée LFP 65 % / PVDF 8 % / Super P 5 % / LATP 17 % / LiTFSI 5 % → </w:t>
      </w:r>
      <w:r>
        <w:rPr>
          <w:b/>
        </w:rPr>
        <w:t>65/100</w:t>
      </w:r>
    </w:p>
    <w:p>
      <w:r>
        <w:rPr>
          <w:b/>
        </w:rPr>
        <w:t>C2 — configuration optimisée</w:t>
      </w:r>
      <w:r>
        <w:t xml:space="preserve"> → </w:t>
      </w:r>
      <w:r>
        <w:rPr>
          <w:b/>
        </w:rPr>
        <w:t>82/100</w:t>
      </w:r>
      <w:r>
        <w:t xml:space="preserve"> · </w:t>
      </w:r>
      <w:r>
        <w:rPr>
          <w:i/>
        </w:rPr>
        <w:t>l'outil est sensible</w:t>
      </w:r>
    </w:p>
    <w:p>
      <w:r>
        <w:rPr>
          <w:b/>
        </w:rPr>
        <w:t>C3 — défaut provoqué</w:t>
      </w:r>
      <w:r>
        <w:t xml:space="preserve"> → </w:t>
      </w:r>
      <w:r>
        <w:rPr>
          <w:b/>
        </w:rPr>
        <w:t>46/100</w:t>
      </w:r>
      <w:r>
        <w:t xml:space="preserve">, probabilité de stabilité 0,35, alerte rouge localisée en Z5 · </w:t>
      </w:r>
      <w:r>
        <w:rPr>
          <w:i/>
        </w:rPr>
        <w:t>l'outil détecte</w:t>
      </w:r>
    </w:p>
    <w:p>
      <w:r>
        <w:rPr>
          <w:b/>
        </w:rPr>
        <w:t>C4 — recommandation chiffrée de l'agent</w:t>
      </w:r>
      <w:r>
        <w:t xml:space="preserve"> : quel paramètre, de combien</w:t>
      </w:r>
    </w:p>
    <w:p>
      <w:r>
        <w:rPr>
          <w:b/>
        </w:rPr>
        <w:t>C5 — après correction</w:t>
      </w:r>
      <w:r>
        <w:t xml:space="preserve"> → </w:t>
      </w:r>
      <w:r>
        <w:rPr>
          <w:b/>
        </w:rPr>
        <w:t>+32 points</w:t>
      </w:r>
      <w:r>
        <w:t xml:space="preserve">, +0,52 de probabilité, alerte levée · </w:t>
      </w:r>
      <w:r>
        <w:rPr>
          <w:i/>
        </w:rPr>
        <w:t>l'outil est réversible, et sa projection se vérifie</w:t>
      </w:r>
    </w:p>
    <w:p>
      <w:r>
        <w:rPr>
          <w:i/>
        </w:rPr>
        <w:t>Sensibilité, détectabilité, réversibilité : les trois propriétés attendues d'un jumeau numérique d'aide à la décision.</w:t>
      </w:r>
    </w:p>
    <w:p>
      <w:r>
        <w:br w:type="page"/>
      </w:r>
    </w:p>
    <w:p>
      <w:pPr>
        <w:pStyle w:val="Heading1"/>
      </w:pPr>
      <w:r>
        <w:t>Piloter le projet comme un chef de projet</w:t>
      </w:r>
    </w:p>
    <w:p>
      <w:r>
        <w:rPr>
          <w:b/>
        </w:rPr>
        <w:t>Kanban à encours limité (WIP = 1)</w:t>
      </w:r>
      <w:r>
        <w:t xml:space="preserve"> — proposition → validation encadrant → développement → tests → démonstration. Aucune brique entamée avant validation de la précédente.</w:t>
      </w:r>
    </w:p>
    <w:p>
      <w:r>
        <w:rPr>
          <w:b/>
        </w:rPr>
        <w:t>Jalons tenus</w:t>
      </w:r>
      <w:r>
        <w:t xml:space="preserve"> — campagne d'essais du 7 au 13 avril 2026, démonstration client du 16 juin 2026</w:t>
      </w:r>
    </w:p>
    <w:p>
      <w:r>
        <w:rPr>
          <w:b/>
        </w:rPr>
        <w:t>Veille structurée</w:t>
      </w:r>
      <w:r>
        <w:t xml:space="preserve"> — sources scientifiques, concurrentielles et réglementaires, avec fréquences et impacts documentés</w:t>
      </w:r>
    </w:p>
    <w:p>
      <w:r>
        <w:rPr>
          <w:b/>
        </w:rPr>
        <w:t>Risques cartographiés</w:t>
      </w:r>
      <w:r>
        <w:t xml:space="preserve"> — qualité et sécurité des données, éthique, enjeux environnementaux, charte formalisée</w:t>
      </w:r>
    </w:p>
    <w:p>
      <w:r>
        <w:rPr>
          <w:b/>
        </w:rPr>
        <w:t>Douze incidents de production</w:t>
      </w:r>
      <w:r>
        <w:t xml:space="preserve"> tracés, résolus et figés en tests de non-régression</w:t>
      </w:r>
    </w:p>
    <w:p>
      <w:r>
        <w:br w:type="page"/>
      </w:r>
    </w:p>
    <w:p>
      <w:pPr>
        <w:pStyle w:val="Heading1"/>
      </w:pPr>
      <w:r>
        <w:t>Un prototype vérifié comme un produit</w:t>
      </w:r>
    </w:p>
    <w:p>
      <w:r>
        <w:rPr>
          <w:b/>
        </w:rPr>
        <w:t>720</w:t>
      </w:r>
      <w:r>
        <w:t xml:space="preserve"> tests automatisés sur 75 fichiers · </w:t>
      </w:r>
      <w:r>
        <w:rPr>
          <w:b/>
        </w:rPr>
        <w:t>100 % au vert</w:t>
      </w:r>
      <w:r>
        <w:t xml:space="preserve"> · indépendants de l'ordre d'exécution</w:t>
      </w:r>
    </w:p>
    <w:p>
      <w:r>
        <w:t>Six familles : unitaires purs · interface Streamlit · persistance · non-régression · internationalisation · accessibilité</w:t>
      </w:r>
    </w:p>
    <w:p>
      <w:r>
        <w:rPr>
          <w:b/>
        </w:rPr>
        <w:t>×1030</w:t>
      </w:r>
      <w:r>
        <w:t xml:space="preserve"> d'accélération mesurée entre table indexée et non indexée</w:t>
      </w:r>
    </w:p>
    <w:p>
      <w:r>
        <w:rPr>
          <w:b/>
        </w:rPr>
        <w:t>Chaque incident de production est devenu un test.</w:t>
      </w:r>
      <w:r>
        <w:t xml:space="preserve"> C'est ce qui empêche un bug corrigé de revenir.</w:t>
      </w:r>
    </w:p>
    <w:p>
      <w:r>
        <w:rPr>
          <w:i/>
        </w:rPr>
        <w:t>La qualité logicielle n'est pas ici un supplément d'âme : c'est ce qui rend le résultat scientifique crédible.</w:t>
      </w:r>
    </w:p>
    <w:p>
      <w:r>
        <w:br w:type="page"/>
      </w:r>
    </w:p>
    <w:p>
      <w:pPr>
        <w:pStyle w:val="Heading1"/>
      </w:pPr>
      <w:r>
        <w:t>Ce que je retiens</w:t>
      </w:r>
    </w:p>
    <w:p>
      <w:r>
        <w:rPr>
          <w:b/>
        </w:rPr>
        <w:t>Ce qui est acquis</w:t>
      </w:r>
      <w:r>
        <w:t xml:space="preserve"> — un jumeau numérique ancré dans la géométrie réelle de la machine, un agent explicable qui recommande sans décider, un modèle validé sous protocole strict, un outil démontrable devant le client.</w:t>
      </w:r>
    </w:p>
    <w:p>
      <w:r>
        <w:rPr>
          <w:b/>
        </w:rPr>
        <w:t>Ce qui est assumé</w:t>
      </w:r>
      <w:r>
        <w:t xml:space="preserve"> — physique nominale non calibrée industriellement, huit essais d'une seule campagne, pression filière non modélisée.</w:t>
      </w:r>
    </w:p>
    <w:p>
      <w:r>
        <w:rPr>
          <w:b/>
        </w:rPr>
        <w:t>Ce que j'ai vraiment appris</w:t>
      </w:r>
      <w:r>
        <w:t xml:space="preserve"> — j'ai cru avoir débloqué la situation par l'augmentation de données. C'est en auditant mon propre protocole que j'ai découvert que le gain était un artefact. J'aurais pu livrer 0,918 : personne ne l'aurait vu.</w:t>
      </w:r>
    </w:p>
    <w:p>
      <w:pPr>
        <w:ind w:left="480"/>
      </w:pPr>
      <w:r>
        <w:rPr>
          <w:b/>
          <w:i/>
          <w:color w:val="1F4E79"/>
        </w:rPr>
        <w:t>Le facteur limitant n'est ni l'algorithme ni la méthode : c'est le nombre d'essais. Passer d'un indicateur expérimental à un prédicteur industriel exigera de nouvelles campagnes — pas un modèle plus sophistiqué.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