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Slide 23 — Veille structurée &amp; budget</w:t>
      </w:r>
    </w:p>
    <w:p>
      <w:pPr>
        <w:pStyle w:val="Heading2"/>
      </w:pPr>
      <w:r>
        <w:t>SYSTÈME DE VEILLE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Fréquence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Revues scientifiques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Technologique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Mensuelle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État de l'art (38 réfs)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Coperion, Thermo Fisher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Concurrentielle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Trimestrielle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Positionnement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Cabinets d'études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Sectorielle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Ponctuelle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Chiffrage marché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ECHA (PFAS)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Réglementaire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Semestrielle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Voie sèche</w:t>
            </w:r>
          </w:p>
        </w:tc>
      </w:tr>
    </w:tbl>
    <w:p/>
    <w:p>
      <w:pPr>
        <w:pStyle w:val="Heading2"/>
      </w:pPr>
      <w:r>
        <w:t>BUDGET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Nature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Coût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Temps-homme (4 mois)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Investissement principal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Ressource centrale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Licences logicielles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Open source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0 €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Hébergement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Freemium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0 €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Données d'essais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Ressource Rondol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Mise à dispo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