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mbria" w:cs="Cambria" w:eastAsia="Cambria" w:hAnsi="Cambria"/>
          <w:b/>
          <w:bCs/>
          <w:color w:val="1A2330"/>
          <w:sz w:val="52"/>
          <w:szCs w:val="52"/>
        </w:rPr>
        <w:t xml:space="preserve">Audit complet de préparation</w:t>
      </w:r>
    </w:p>
    <w:p>
      <w:pPr>
        <w:spacing w:after="120"/>
        <w:jc w:val="center"/>
      </w:pPr>
      <w:r>
        <w:rPr>
          <w:rFonts w:ascii="Calibri" w:cs="Calibri" w:eastAsia="Calibri" w:hAnsi="Calibri"/>
          <w:color w:val="5A6675"/>
          <w:sz w:val="26"/>
          <w:szCs w:val="26"/>
        </w:rPr>
        <w:t xml:space="preserve">Soutenance — Système prédictif d'extrusion bivis Rondol</w:t>
      </w:r>
    </w:p>
    <w:p>
      <w:pPr>
        <w:jc w:val="center"/>
      </w:pPr>
      <w:r>
        <w:rPr>
          <w:rFonts w:ascii="Calibri" w:cs="Calibri" w:eastAsia="Calibri" w:hAnsi="Calibri"/>
          <w:color w:val="0E7C6B"/>
          <w:sz w:val="22"/>
          <w:szCs w:val="22"/>
        </w:rPr>
        <w:t xml:space="preserve">Ce qui est fait · ce qui reste · directives pas-à-pas</w:t>
      </w:r>
    </w:p>
    <w:p>
      <w:pPr>
        <w:spacing w:before="280"/>
        <w:jc w:val="center"/>
      </w:pPr>
      <w:r>
        <w:rPr>
          <w:rFonts w:ascii="Calibri" w:cs="Calibri" w:eastAsia="Calibri" w:hAnsi="Calibri"/>
          <w:color w:val="5A6675"/>
          <w:sz w:val="20"/>
          <w:szCs w:val="20"/>
        </w:rPr>
        <w:t xml:space="preserve">Wilfried Mbeumi — document de pilotage, usage personnel</w:t>
      </w:r>
    </w:p>
    <w:p>
      <w:r>
        <w:br w:type="page"/>
      </w:r>
    </w:p>
    <w:p>
      <w:pPr>
        <w:pStyle w:val="Heading1"/>
        <w:spacing w:after="150" w:before="340"/>
      </w:pPr>
      <w:r>
        <w:rPr>
          <w:color w:val="1A2330"/>
        </w:rPr>
        <w:t xml:space="preserve">Synthèse en une page</w:t>
      </w:r>
    </w:p>
    <w:p>
      <w:pPr>
        <w:spacing w:after="100" w:line="276"/>
      </w:pPr>
      <w:r>
        <w:rPr>
          <w:rFonts w:ascii="Calibri" w:cs="Calibri" w:eastAsia="Calibri" w:hAnsi="Calibri"/>
          <w:b w:val="false"/>
          <w:bCs w:val="false"/>
          <w:color w:val="1A2330"/>
          <w:sz w:val="22"/>
          <w:szCs w:val="22"/>
        </w:rPr>
        <w:t xml:space="preserve">Niveau de préparation estimé : environ 90 %. Aucun livrable n'est cassé ou en erreur. Les 10 % restants se répartissent en trois catégories : des gestes que toi seul peux poser (déploiement public, secrets, dépôt, répétition), quatre finitions que je peux boucler à ta demande, et deux vérifications de production non encore levées.</w:t>
      </w:r>
    </w:p>
    <w:p>
      <w:pPr>
        <w:spacing w:after="100" w:line="276"/>
      </w:pPr>
      <w:r>
        <w:rPr>
          <w:rFonts w:ascii="Calibri" w:cs="Calibri" w:eastAsia="Calibri" w:hAnsi="Calibri"/>
          <w:color w:val="5A6675"/>
          <w:sz w:val="22"/>
          <w:szCs w:val="22"/>
        </w:rPr>
        <w:t xml:space="preserve">Ce document est organisé en quatre sections : A) ce qui est fait et vérifié ; B) ce qui reste et que toi seul peux faire, avec les étapes ; C) les finitions que je peux exécuter ; D) les risques non levés et comment les contrôler.</w:t>
      </w:r>
    </w:p>
    <w:p>
      <w:pPr>
        <w:pStyle w:val="Heading1"/>
        <w:spacing w:after="150" w:before="340"/>
      </w:pPr>
      <w:r>
        <w:rPr>
          <w:color w:val="1A2330"/>
        </w:rPr>
        <w:t xml:space="preserve">A. Ce qui est FAIT et vérifié</w:t>
      </w:r>
    </w:p>
    <w:p>
      <w:pPr>
        <w:spacing w:after="100" w:line="276"/>
      </w:pPr>
      <w:r>
        <w:rPr>
          <w:rFonts w:ascii="Calibri" w:cs="Calibri" w:eastAsia="Calibri" w:hAnsi="Calibri"/>
          <w:i/>
          <w:iCs/>
          <w:color w:val="5A6675"/>
          <w:sz w:val="22"/>
          <w:szCs w:val="22"/>
        </w:rPr>
        <w:t xml:space="preserve">Chaque ligne ci-dessous a été vérifiée de façon reproductible pendant la préparation (tests exécutés, fichiers ouverts, app testée dans le navigateur).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Suite de tests : 694/694, indépendante de l'ordre d'exécution (vérifiée en ordre déterministe + 2 graines aléatoires). Le bug d'isolation d'historique inter-fichiers a été corrigé à la racine.</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Application locale : démarre, health-check HTTP 200, 6 pages rendues par les tests d'intégration.</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Application en ligne : PUBLIQUE et fonctionnelle — les 6 pages (Supervision, Profile, Settings, Run Analysis, History, Process Engine) vérifiées dans le navigateur sans authentification ; persistance Supabase active en production.</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Mémoire : 71 pages, corps ≈ 50 pages (conforme 45–55), aucun placeholder visible dans le PDF, chiffres alignés, formulation humanisée.</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Dataset consolidé : 100 800 lignes calibrées sur l'échantillon réel, imperfections et épisodes d'instabilité reproduits, plan de génération documenté.</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Validation externe : modèle évalué sans réentraînement sur base simulée (AUC 0,753), documentée au mémoire §5.10.</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Notebook : exécuté de bout en bout, 0 erreur, section validation externe incluse.</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PowerPoint : 14 diapos dont le volet gestion de projet, QA visuelle diapo par diapo, chiffres synchronisés.</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Guide de soutenance : script par diapo + Q&amp;A jury (3 volets) + format 90 min / jeu de rôle client.</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ZIP de dépôt : 6/6 exigences école présentes (URL, code, dump SQL, config, PDR, mémoire PDF), aucun secret, notebook + PPT + guide inclus.</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Garde-fou de cohérence : check_sync_livrables.py compare les chiffres entre tous les livrables, au vert.</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FAIT</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Dépôt Git : tout committé et poussé sur GitHub.</w:t>
            </w:r>
          </w:p>
        </w:tc>
      </w:tr>
    </w:tbl>
    <w:p>
      <w:r>
        <w:br w:type="page"/>
      </w:r>
    </w:p>
    <w:p>
      <w:pPr>
        <w:pStyle w:val="Heading1"/>
        <w:spacing w:after="150" w:before="340"/>
      </w:pPr>
      <w:r>
        <w:rPr>
          <w:color w:val="1A2330"/>
        </w:rPr>
        <w:t xml:space="preserve">B. Ce qui reste — que TOI SEUL peux faire</w:t>
      </w:r>
    </w:p>
    <w:p>
      <w:pPr>
        <w:spacing w:after="100" w:line="276"/>
      </w:pPr>
      <w:r>
        <w:rPr>
          <w:rFonts w:ascii="Calibri" w:cs="Calibri" w:eastAsia="Calibri" w:hAnsi="Calibri"/>
          <w:i/>
          <w:iCs/>
          <w:color w:val="5A6675"/>
          <w:sz w:val="22"/>
          <w:szCs w:val="22"/>
        </w:rPr>
        <w:t xml:space="preserve">Ces actions touchent des comptes, des secrets ou un jugement humain : je ne peux pas les faire à ta place. Elles sont classées par priorité.</w:t>
      </w:r>
    </w:p>
    <w:p>
      <w:pPr>
        <w:pStyle w:val="Heading2"/>
        <w:spacing w:after="110" w:before="260"/>
      </w:pPr>
      <w:r>
        <w:rPr>
          <w:color w:val="0E7C6B"/>
        </w:rPr>
        <w:t xml:space="preserve">B.1 — Application publique : DÉJÀ FAIT</w:t>
      </w:r>
    </w:p>
    <w:p>
      <w:pPr>
        <w:spacing w:after="100" w:line="276"/>
      </w:pPr>
      <w:r>
        <w:rPr>
          <w:rFonts w:ascii="Calibri" w:cs="Calibri" w:eastAsia="Calibri" w:hAnsi="Calibri"/>
          <w:b w:val="false"/>
          <w:bCs w:val="false"/>
          <w:color w:val="1A2330"/>
          <w:sz w:val="22"/>
          <w:szCs w:val="22"/>
        </w:rPr>
        <w:t xml:space="preserve">Vérifié dans le navigateur : l'application est publique et fonctionnelle, les 6 pages s'affichent sans authentification, et la persistance Supabase est active en production. Aucune action requise, sauf : la réveiller 15 min avant le passage (mise en veille du tier gratuit).</w:t>
      </w:r>
    </w:p>
    <w:p>
      <w:pPr>
        <w:pStyle w:val="Heading2"/>
        <w:spacing w:after="110" w:before="260"/>
      </w:pPr>
      <w:r>
        <w:rPr>
          <w:color w:val="B23A3A"/>
        </w:rPr>
        <w:t xml:space="preserve">B.2 — Secrets Supabase dans le PDR du ZIP (PRIORITÉ 1)</w:t>
      </w:r>
    </w:p>
    <w:p>
      <w:pPr>
        <w:spacing w:after="100" w:line="276"/>
      </w:pPr>
      <w:r>
        <w:rPr>
          <w:rFonts w:ascii="Calibri" w:cs="Calibri" w:eastAsia="Calibri" w:hAnsi="Calibri"/>
          <w:b/>
          <w:bCs/>
          <w:color w:val="1A2330"/>
          <w:sz w:val="22"/>
          <w:szCs w:val="22"/>
        </w:rPr>
        <w:t xml:space="preserve">Le PDR contient deux emplacements à compléter, mais uniquement dans la COPIE incluse dans le ZIP de dépôt — jamais dans le dépôt public.</w:t>
      </w:r>
    </w:p>
    <w:p>
      <w:pPr>
        <w:spacing w:after="70" w:line="268"/>
        <w:ind w:left="360" w:hanging="300"/>
      </w:pPr>
      <w:r>
        <w:rPr>
          <w:rFonts w:ascii="Calibri" w:cs="Calibri" w:eastAsia="Calibri" w:hAnsi="Calibri"/>
          <w:b/>
          <w:bCs/>
          <w:color w:val="0E7C6B"/>
          <w:sz w:val="22"/>
          <w:szCs w:val="22"/>
        </w:rPr>
        <w:t xml:space="preserve">1. </w:t>
      </w:r>
      <w:r>
        <w:rPr>
          <w:rFonts w:ascii="Calibri" w:cs="Calibri" w:eastAsia="Calibri" w:hAnsi="Calibri"/>
          <w:color w:val="1A2330"/>
          <w:sz w:val="22"/>
          <w:szCs w:val="22"/>
        </w:rPr>
        <w:t xml:space="preserve">Dézipper MBEUMI_Wilfried_PROJET.zip dans un dossier de travail.</w:t>
      </w:r>
    </w:p>
    <w:p>
      <w:pPr>
        <w:spacing w:after="70" w:line="268"/>
        <w:ind w:left="360" w:hanging="300"/>
      </w:pPr>
      <w:r>
        <w:rPr>
          <w:rFonts w:ascii="Calibri" w:cs="Calibri" w:eastAsia="Calibri" w:hAnsi="Calibri"/>
          <w:b/>
          <w:bCs/>
          <w:color w:val="0E7C6B"/>
          <w:sz w:val="22"/>
          <w:szCs w:val="22"/>
        </w:rPr>
        <w:t xml:space="preserve">2. </w:t>
      </w:r>
      <w:r>
        <w:rPr>
          <w:rFonts w:ascii="Calibri" w:cs="Calibri" w:eastAsia="Calibri" w:hAnsi="Calibri"/>
          <w:color w:val="1A2330"/>
          <w:sz w:val="22"/>
          <w:szCs w:val="22"/>
        </w:rPr>
        <w:t xml:space="preserve">Ouvrir PDR_README.md, section 6 : remplacer le bloc « [À COMPLÉTER…] » par l'URL du projet Supabase et la clé anon de démonstration.</w:t>
      </w:r>
    </w:p>
    <w:p>
      <w:pPr>
        <w:spacing w:after="70" w:line="268"/>
        <w:ind w:left="360" w:hanging="300"/>
      </w:pPr>
      <w:r>
        <w:rPr>
          <w:rFonts w:ascii="Calibri" w:cs="Calibri" w:eastAsia="Calibri" w:hAnsi="Calibri"/>
          <w:b/>
          <w:bCs/>
          <w:color w:val="0E7C6B"/>
          <w:sz w:val="22"/>
          <w:szCs w:val="22"/>
        </w:rPr>
        <w:t xml:space="preserve">3. </w:t>
      </w:r>
      <w:r>
        <w:rPr>
          <w:rFonts w:ascii="Calibri" w:cs="Calibri" w:eastAsia="Calibri" w:hAnsi="Calibri"/>
          <w:color w:val="1A2330"/>
          <w:sz w:val="22"/>
          <w:szCs w:val="22"/>
        </w:rPr>
        <w:t xml:space="preserve">Section 8 : renseigner l'accès console Supabase si tu le fournis au jury (sinon, écrire « fourni sur demande à la soutenance »).</w:t>
      </w:r>
    </w:p>
    <w:p>
      <w:pPr>
        <w:spacing w:after="70" w:line="268"/>
        <w:ind w:left="360" w:hanging="300"/>
      </w:pPr>
      <w:r>
        <w:rPr>
          <w:rFonts w:ascii="Calibri" w:cs="Calibri" w:eastAsia="Calibri" w:hAnsi="Calibri"/>
          <w:b/>
          <w:bCs/>
          <w:color w:val="0E7C6B"/>
          <w:sz w:val="22"/>
          <w:szCs w:val="22"/>
        </w:rPr>
        <w:t xml:space="preserve">4. </w:t>
      </w:r>
      <w:r>
        <w:rPr>
          <w:rFonts w:ascii="Calibri" w:cs="Calibri" w:eastAsia="Calibri" w:hAnsi="Calibri"/>
          <w:color w:val="1A2330"/>
          <w:sz w:val="22"/>
          <w:szCs w:val="22"/>
        </w:rPr>
        <w:t xml:space="preserve">Re-zipper. Ne pas committer ces valeurs sur GitHub.</w:t>
      </w:r>
    </w:p>
    <w:p>
      <w:pPr>
        <w:spacing w:after="70" w:line="268"/>
        <w:ind w:left="360" w:hanging="300"/>
      </w:pPr>
      <w:r>
        <w:rPr>
          <w:rFonts w:ascii="Calibri" w:cs="Calibri" w:eastAsia="Calibri" w:hAnsi="Calibri"/>
          <w:b/>
          <w:bCs/>
          <w:color w:val="0E7C6B"/>
          <w:sz w:val="22"/>
          <w:szCs w:val="22"/>
        </w:rPr>
        <w:t xml:space="preserve">5. </w:t>
      </w:r>
      <w:r>
        <w:rPr>
          <w:rFonts w:ascii="Calibri" w:cs="Calibri" w:eastAsia="Calibri" w:hAnsi="Calibri"/>
          <w:color w:val="1A2330"/>
          <w:sz w:val="22"/>
          <w:szCs w:val="22"/>
        </w:rPr>
        <w:t xml:space="preserve">Après la soutenance : révoquer/régénérer la clé anon dans la console Supabase (Settings → API).</w:t>
      </w:r>
    </w:p>
    <w:p>
      <w:pPr>
        <w:pStyle w:val="Heading2"/>
        <w:spacing w:after="110" w:before="260"/>
      </w:pPr>
      <w:r>
        <w:rPr>
          <w:color w:val="B8860B"/>
        </w:rPr>
        <w:t xml:space="preserve">B.3 — Déposer le ZIP et vérifier la fiche</w:t>
      </w:r>
    </w:p>
    <w:p>
      <w:pPr>
        <w:spacing w:after="70" w:line="268"/>
        <w:ind w:left="360" w:hanging="300"/>
      </w:pPr>
      <w:r>
        <w:rPr>
          <w:rFonts w:ascii="Calibri" w:cs="Calibri" w:eastAsia="Calibri" w:hAnsi="Calibri"/>
          <w:b/>
          <w:bCs/>
          <w:color w:val="0E7C6B"/>
          <w:sz w:val="22"/>
          <w:szCs w:val="22"/>
        </w:rPr>
        <w:t xml:space="preserve">1. </w:t>
      </w:r>
      <w:r>
        <w:rPr>
          <w:rFonts w:ascii="Calibri" w:cs="Calibri" w:eastAsia="Calibri" w:hAnsi="Calibri"/>
          <w:color w:val="1A2330"/>
          <w:sz w:val="22"/>
          <w:szCs w:val="22"/>
        </w:rPr>
        <w:t xml:space="preserve">Vérifier que LIENS.txt dans le ZIP porte la bonne URL publique (déjà corrigé automatiquement).</w:t>
      </w:r>
    </w:p>
    <w:p>
      <w:pPr>
        <w:spacing w:after="70" w:line="268"/>
        <w:ind w:left="360" w:hanging="300"/>
      </w:pPr>
      <w:r>
        <w:rPr>
          <w:rFonts w:ascii="Calibri" w:cs="Calibri" w:eastAsia="Calibri" w:hAnsi="Calibri"/>
          <w:b/>
          <w:bCs/>
          <w:color w:val="0E7C6B"/>
          <w:sz w:val="22"/>
          <w:szCs w:val="22"/>
        </w:rPr>
        <w:t xml:space="preserve">2. </w:t>
      </w:r>
      <w:r>
        <w:rPr>
          <w:rFonts w:ascii="Calibri" w:cs="Calibri" w:eastAsia="Calibri" w:hAnsi="Calibri"/>
          <w:color w:val="1A2330"/>
          <w:sz w:val="22"/>
          <w:szCs w:val="22"/>
        </w:rPr>
        <w:t xml:space="preserve">Déposer MBEUMI_Wilfried_PROJET.zip + le mémoire PDF sur la plateforme école, selon les consignes du guide (PDF 50 pages ± 10 %, ZIP séparé).</w:t>
      </w:r>
    </w:p>
    <w:p>
      <w:pPr>
        <w:pStyle w:val="Heading2"/>
        <w:spacing w:after="110" w:before="260"/>
      </w:pPr>
      <w:r>
        <w:rPr>
          <w:color w:val="B8860B"/>
        </w:rPr>
        <w:t xml:space="preserve">B.4 — Répéter l'oral (PRIORITÉ 2)</w:t>
      </w:r>
    </w:p>
    <w:p>
      <w:pPr>
        <w:spacing w:after="70" w:line="268"/>
        <w:ind w:left="360" w:hanging="300"/>
      </w:pPr>
      <w:r>
        <w:rPr>
          <w:rFonts w:ascii="Calibri" w:cs="Calibri" w:eastAsia="Calibri" w:hAnsi="Calibri"/>
          <w:b/>
          <w:bCs/>
          <w:color w:val="0E7C6B"/>
          <w:sz w:val="22"/>
          <w:szCs w:val="22"/>
        </w:rPr>
        <w:t xml:space="preserve">1. </w:t>
      </w:r>
      <w:r>
        <w:rPr>
          <w:rFonts w:ascii="Calibri" w:cs="Calibri" w:eastAsia="Calibri" w:hAnsi="Calibri"/>
          <w:color w:val="1A2330"/>
          <w:sz w:val="22"/>
          <w:szCs w:val="22"/>
        </w:rPr>
        <w:t xml:space="preserve">Lire le guide de soutenance à voix haute, chronomètre en main : l'exposé doit tenir en 12–15 min.</w:t>
      </w:r>
    </w:p>
    <w:p>
      <w:pPr>
        <w:spacing w:after="70" w:line="268"/>
        <w:ind w:left="360" w:hanging="300"/>
      </w:pPr>
      <w:r>
        <w:rPr>
          <w:rFonts w:ascii="Calibri" w:cs="Calibri" w:eastAsia="Calibri" w:hAnsi="Calibri"/>
          <w:b/>
          <w:bCs/>
          <w:color w:val="0E7C6B"/>
          <w:sz w:val="22"/>
          <w:szCs w:val="22"/>
        </w:rPr>
        <w:t xml:space="preserve">2. </w:t>
      </w:r>
      <w:r>
        <w:rPr>
          <w:rFonts w:ascii="Calibri" w:cs="Calibri" w:eastAsia="Calibri" w:hAnsi="Calibri"/>
          <w:color w:val="1A2330"/>
          <w:sz w:val="22"/>
          <w:szCs w:val="22"/>
        </w:rPr>
        <w:t xml:space="preserve">Faire simuler le jeu de rôle client de 30 min par un proche (scénarios du guide : « pas de données historiques », « exigence de garantie »).</w:t>
      </w:r>
    </w:p>
    <w:p>
      <w:pPr>
        <w:spacing w:after="70" w:line="268"/>
        <w:ind w:left="360" w:hanging="300"/>
      </w:pPr>
      <w:r>
        <w:rPr>
          <w:rFonts w:ascii="Calibri" w:cs="Calibri" w:eastAsia="Calibri" w:hAnsi="Calibri"/>
          <w:b/>
          <w:bCs/>
          <w:color w:val="0E7C6B"/>
          <w:sz w:val="22"/>
          <w:szCs w:val="22"/>
        </w:rPr>
        <w:t xml:space="preserve">3. </w:t>
      </w:r>
      <w:r>
        <w:rPr>
          <w:rFonts w:ascii="Calibri" w:cs="Calibri" w:eastAsia="Calibri" w:hAnsi="Calibri"/>
          <w:color w:val="1A2330"/>
          <w:sz w:val="22"/>
          <w:szCs w:val="22"/>
        </w:rPr>
        <w:t xml:space="preserve">Réveiller l'app 15 min AVANT de passer (Streamlit Cloud endort les apps inactives).</w:t>
      </w:r>
    </w:p>
    <w:p>
      <w:r>
        <w:br w:type="page"/>
      </w:r>
    </w:p>
    <w:p>
      <w:pPr>
        <w:pStyle w:val="Heading1"/>
        <w:spacing w:after="150" w:before="340"/>
      </w:pPr>
      <w:r>
        <w:rPr>
          <w:color w:val="1A2330"/>
        </w:rPr>
        <w:t xml:space="preserve">C. Finitions que JE peux exécuter (à ta demande)</w:t>
      </w:r>
    </w:p>
    <w:p>
      <w:pPr>
        <w:spacing w:after="100" w:line="276"/>
      </w:pPr>
      <w:r>
        <w:rPr>
          <w:rFonts w:ascii="Calibri" w:cs="Calibri" w:eastAsia="Calibri" w:hAnsi="Calibri"/>
          <w:i/>
          <w:iCs/>
          <w:color w:val="5A6675"/>
          <w:sz w:val="22"/>
          <w:szCs w:val="22"/>
        </w:rPr>
        <w:t xml:space="preserve">Aucune n'est bloquante. Deux sont sans risque, deux demandent ta décision.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À FAIRE</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Résumé du mémoire : n'évoque pas la validation externe (AUC 0,753). Ajouter une phrase en première page. — SANS RISQUE.</w:t>
            </w:r>
          </w:p>
        </w:tc>
      </w:tr>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À FAIRE</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Notes de présentateur du PPT : seulement 2 diapos sur 14 en ont. Compléter les 12 autres avec le texte du guide. — SANS RISQUE.</w:t>
            </w:r>
          </w:p>
        </w:tc>
      </w:tr>
      <w:tr>
        <w:tc>
          <w:tcPr>
            <w:tcW w:type="dxa" w:w="1300"/>
            <w:shd w:fill="EEF5F3" w:val="clear"/>
            <w:tcMar>
              <w:top w:type="dxa" w:w="60"/>
              <w:left w:type="dxa" w:w="120"/>
              <w:bottom w:type="dxa" w:w="60"/>
              <w:right w:type="dxa" w:w="120"/>
            </w:tcMar>
          </w:tcPr>
          <w:p>
            <w:r>
              <w:rPr>
                <w:rFonts w:ascii="Calibri" w:cs="Calibri" w:eastAsia="Calibri" w:hAnsi="Calibri"/>
                <w:b/>
                <w:bCs/>
                <w:color w:val="B8860B"/>
                <w:sz w:val="20"/>
                <w:szCs w:val="20"/>
              </w:rPr>
              <w:t xml:space="preserve">DÉCISION</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Bug cosmétique de l'agent : les recommandations affichent des astérisques Markdown en clair (**Kneading**, **Z6**) au lieu du gras. Zone protégée AgentIndustrial_v1 — nécessite TON accord. — 5 MIN.</w:t>
            </w:r>
          </w:p>
        </w:tc>
      </w:tr>
      <w:tr>
        <w:tc>
          <w:tcPr>
            <w:tcW w:type="dxa" w:w="1300"/>
            <w:shd w:fill="EEF5F3" w:val="clear"/>
            <w:tcMar>
              <w:top w:type="dxa" w:w="60"/>
              <w:left w:type="dxa" w:w="120"/>
              <w:bottom w:type="dxa" w:w="60"/>
              <w:right w:type="dxa" w:w="120"/>
            </w:tcMar>
          </w:tcPr>
          <w:p>
            <w:r>
              <w:rPr>
                <w:rFonts w:ascii="Calibri" w:cs="Calibri" w:eastAsia="Calibri" w:hAnsi="Calibri"/>
                <w:b/>
                <w:bCs/>
                <w:color w:val="B8860B"/>
                <w:sz w:val="20"/>
                <w:szCs w:val="20"/>
              </w:rPr>
              <w:t xml:space="preserve">DÉCISION</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MBEUMI_Wilfried_PREZ.pdf (ancien deck 16 diapos) : retiré du ZIP, mais traîne à la racine et est cité dans 2 fichiers d'audit. Décider : le supprimer, ou est-ce le nom canonique attendu (je régénère alors son contenu depuis le nouveau deck). — TA DÉCISION.</w:t>
            </w:r>
          </w:p>
        </w:tc>
      </w:tr>
    </w:tbl>
    <w:p>
      <w:pPr>
        <w:pStyle w:val="Heading1"/>
        <w:spacing w:after="150" w:before="340"/>
      </w:pPr>
      <w:r>
        <w:rPr>
          <w:color w:val="1A2330"/>
        </w:rPr>
        <w:t xml:space="preserve">D. Risques — état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c>
          <w:tcPr>
            <w:tcW w:type="dxa" w:w="1300"/>
            <w:shd w:fill="EEF5F3" w:val="clear"/>
            <w:tcMar>
              <w:top w:type="dxa" w:w="60"/>
              <w:left w:type="dxa" w:w="120"/>
              <w:bottom w:type="dxa" w:w="60"/>
              <w:right w:type="dxa" w:w="120"/>
            </w:tcMar>
          </w:tcPr>
          <w:p>
            <w:r>
              <w:rPr>
                <w:rFonts w:ascii="Calibri" w:cs="Calibri" w:eastAsia="Calibri" w:hAnsi="Calibri"/>
                <w:b/>
                <w:bCs/>
                <w:color w:val="0E7C6B"/>
                <w:sz w:val="20"/>
                <w:szCs w:val="20"/>
              </w:rPr>
              <w:t xml:space="preserve">LEVÉ</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Les 6 pages en ligne (Supervision, Profile, Settings, Run Analysis, History, Process Engine) ont été ouvertes une à une en production : toutes rendent correctement, état vide explicite, persistance Supabase active. Risque levé.</w:t>
            </w:r>
          </w:p>
        </w:tc>
      </w:tr>
      <w:tr>
        <w:tc>
          <w:tcPr>
            <w:tcW w:type="dxa" w:w="1300"/>
            <w:shd w:fill="EEF5F3" w:val="clear"/>
            <w:tcMar>
              <w:top w:type="dxa" w:w="60"/>
              <w:left w:type="dxa" w:w="120"/>
              <w:bottom w:type="dxa" w:w="60"/>
              <w:right w:type="dxa" w:w="120"/>
            </w:tcMar>
          </w:tcPr>
          <w:p>
            <w:r>
              <w:rPr>
                <w:rFonts w:ascii="Calibri" w:cs="Calibri" w:eastAsia="Calibri" w:hAnsi="Calibri"/>
                <w:b/>
                <w:bCs/>
                <w:color w:val="B8860B"/>
                <w:sz w:val="20"/>
                <w:szCs w:val="20"/>
              </w:rPr>
              <w:t xml:space="preserve">MINEUR</w:t>
            </w:r>
          </w:p>
        </w:tc>
        <w:tc>
          <w:tcPr>
            <w:tcW w:type="dxa" w:w="8200"/>
            <w:tcMar>
              <w:top w:type="dxa" w:w="60"/>
              <w:left w:type="dxa" w:w="120"/>
              <w:bottom w:type="dxa" w:w="60"/>
              <w:right w:type="dxa" w:w="120"/>
            </w:tcMar>
          </w:tcPr>
          <w:p>
            <w:r>
              <w:rPr>
                <w:rFonts w:ascii="Calibri" w:cs="Calibri" w:eastAsia="Calibri" w:hAnsi="Calibri"/>
                <w:color w:val="1A2330"/>
                <w:sz w:val="20"/>
                <w:szCs w:val="20"/>
              </w:rPr>
              <w:t xml:space="preserve">Le PDR §9 affirme une « compatibilité multi-navigateur » non testée formellement. Reste à contrôler (ouvrir l'app sur Chrome + Firefox + Edge) ou à adoucir en « utilisée sur navigateurs récents ». Impact faible.</w:t>
            </w:r>
          </w:p>
        </w:tc>
      </w:tr>
    </w:tbl>
    <w:p>
      <w:pPr>
        <w:pStyle w:val="Heading1"/>
        <w:spacing w:after="150" w:before="340"/>
      </w:pPr>
      <w:r>
        <w:rPr>
          <w:color w:val="1A2330"/>
        </w:rPr>
        <w:t xml:space="preserve">Verdict</w:t>
      </w:r>
    </w:p>
    <w:p>
      <w:pPr>
        <w:spacing w:after="100" w:line="276"/>
      </w:pPr>
      <w:r>
        <w:rPr>
          <w:rFonts w:ascii="Calibri" w:cs="Calibri" w:eastAsia="Calibri" w:hAnsi="Calibri"/>
          <w:b/>
          <w:bCs/>
          <w:color w:val="1A2330"/>
          <w:sz w:val="22"/>
          <w:szCs w:val="22"/>
        </w:rPr>
        <w:t xml:space="preserve">Niveau de préparation : environ 95 %. L'application est publique, en ligne, ses 6 pages fonctionnent en production, la persistance Supabase tourne, la suite de tests est verte et indépendante de l'ordre, et tous les livrables sont synchronisés. Il ne reste aucun défaut technique bloquant.</w:t>
      </w:r>
    </w:p>
    <w:p>
      <w:pPr>
        <w:spacing w:after="100" w:line="276"/>
      </w:pPr>
      <w:r>
        <w:rPr>
          <w:rFonts w:ascii="Calibri" w:cs="Calibri" w:eastAsia="Calibri" w:hAnsi="Calibri"/>
          <w:color w:val="5A6675"/>
          <w:sz w:val="22"/>
          <w:szCs w:val="22"/>
        </w:rPr>
        <w:t xml:space="preserve">Les 5 % restants sont exclusivement des gestes humains et administratifs : injecter les secrets dans la copie PDR du ZIP, déposer les livrables sur la plateforme, répéter l'oral, et deux finitions optionnelles (résumé + notes de présentateur). Rien de tout cela n'est du code cassé.</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A2330"/>
      <w:sz w:val="32"/>
      <w:szCs w:val="32"/>
    </w:rPr>
  </w:style>
  <w:style w:type="paragraph" w:styleId="Heading2">
    <w:name w:val="Heading 2"/>
    <w:basedOn w:val="Normal"/>
    <w:next w:val="Normal"/>
    <w:qFormat/>
    <w:rPr>
      <w:rFonts w:ascii="Cambria" w:cs="Cambria" w:eastAsia="Cambria" w:hAnsi="Cambria"/>
      <w:b/>
      <w:bCs/>
      <w:color w:val="0E7C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2026-07-20T15:47:46.574Z</dcterms:created>
  <dcterms:modified xsi:type="dcterms:W3CDTF">2026-07-20T15:47:46.575Z</dcterms:modified>
</cp:coreProperties>
</file>

<file path=docProps/custom.xml><?xml version="1.0" encoding="utf-8"?>
<Properties xmlns="http://schemas.openxmlformats.org/officeDocument/2006/custom-properties" xmlns:vt="http://schemas.openxmlformats.org/officeDocument/2006/docPropsVTypes"/>
</file>