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jc w:val="center"/>
      </w:pPr>
      <w:r>
        <w:rPr>
          <w:b/>
          <w:bCs/>
          <w:caps/>
          <w:color w:val="1A1A1A"/>
          <w:sz w:val="64"/>
          <w:szCs w:val="64"/>
        </w:rPr>
        <w:t xml:space="preserve">GENTRACK</w:t>
      </w:r>
    </w:p>
    <w:p>
      <w:pPr>
        <w:spacing w:after="40" w:before="0"/>
        <w:jc w:val="center"/>
      </w:pPr>
      <w:r>
        <w:rPr>
          <w:b/>
          <w:bCs/>
          <w:color w:val="F5A623"/>
          <w:sz w:val="30"/>
          <w:szCs w:val="30"/>
        </w:rPr>
        <w:t xml:space="preserve">Contrat de Prestation de Services</w:t>
      </w:r>
    </w:p>
    <w:p>
      <w:pPr>
        <w:spacing w:after="0" w:before="0"/>
        <w:jc w:val="center"/>
      </w:pPr>
      <w:r>
        <w:rPr>
          <w:i/>
          <w:iCs/>
          <w:color w:val="6B7280"/>
          <w:sz w:val="22"/>
          <w:szCs w:val="22"/>
        </w:rPr>
        <w:t xml:space="preserve">Déploiement terrain des pilotes GenTrack</w:t>
      </w:r>
    </w:p>
    <w:p>
      <w:pPr>
        <w:spacing w:after="0" w:before="4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A1A1A" w:val="clear"/>
          </w:tcPr>
          <w:p>
            <w:pPr>
              <w:spacing w:after="120" w:before="120"/>
              <w:jc w:val="center"/>
            </w:pPr>
            <w:r>
              <w:rPr>
                <w:b/>
                <w:bCs/>
                <w:caps/>
                <w:color w:val="FFFFFF"/>
                <w:sz w:val="24"/>
                <w:szCs w:val="24"/>
              </w:rPr>
              <w:t xml:space="preserve">Entre les soussignés</w:t>
            </w:r>
          </w:p>
        </w:tc>
      </w:tr>
    </w:tbl>
    <w:p>
      <w:pPr>
        <w:spacing w:after="0" w:before="140"/>
      </w:pPr>
      <w:r>
        <w:t xml:space="preserve"/>
      </w:r>
    </w:p>
    <w:p>
      <w:pPr>
        <w:spacing w:after="100" w:before="0"/>
      </w:pPr>
      <w:r>
        <w:rPr>
          <w:b/>
          <w:bCs/>
          <w:color w:val="F5A623"/>
          <w:sz w:val="22"/>
          <w:szCs w:val="22"/>
        </w:rPr>
        <w:t xml:space="preserve">Le Donneur d'ordre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c>
          <w:tcPr>
            <w:tcW w:type="dxa" w:w="4500"/>
            <w:shd w:fill="F9FAFB" w:val="clear"/>
          </w:tcPr>
          <w:p>
            <w:pPr>
              <w:spacing w:after="80" w:before="80"/>
              <w:ind w:left="100"/>
            </w:pPr>
            <w:r>
              <w:rPr>
                <w:color w:val="374151"/>
                <w:sz w:val="20"/>
                <w:szCs w:val="20"/>
              </w:rPr>
              <w:t xml:space="preserve">Société</w:t>
            </w:r>
          </w:p>
        </w:tc>
        <w:tc>
          <w:tcPr>
            <w:tcW w:type="dxa" w:w="4700"/>
            <w:shd w:fill="FFFFFF" w:val="clear"/>
          </w:tcPr>
          <w:p>
            <w:pPr>
              <w:spacing w:after="80" w:before="80"/>
              <w:ind w:left="100"/>
            </w:pPr>
            <w:r>
              <w:rPr>
                <w:b/>
                <w:bCs/>
                <w:color w:val="1A1A1A"/>
                <w:sz w:val="20"/>
                <w:szCs w:val="20"/>
              </w:rPr>
              <w:t xml:space="preserve">The Wire.w — Conseil &amp; Gestion</w:t>
            </w:r>
          </w:p>
        </w:tc>
      </w:tr>
      <w:tr>
        <w:tc>
          <w:tcPr>
            <w:tcW w:type="dxa" w:w="4500"/>
            <w:shd w:fill="F9FAFB" w:val="clear"/>
          </w:tcPr>
          <w:p>
            <w:pPr>
              <w:spacing w:after="80" w:before="80"/>
              <w:ind w:left="100"/>
            </w:pPr>
            <w:r>
              <w:rPr>
                <w:color w:val="374151"/>
                <w:sz w:val="20"/>
                <w:szCs w:val="20"/>
              </w:rPr>
              <w:t xml:space="preserve">Statut</w:t>
            </w:r>
          </w:p>
        </w:tc>
        <w:tc>
          <w:tcPr>
            <w:tcW w:type="dxa" w:w="4700"/>
            <w:shd w:fill="FFFFFF" w:val="clear"/>
          </w:tcPr>
          <w:p>
            <w:pPr>
              <w:spacing w:after="80" w:before="80"/>
              <w:ind w:left="100"/>
            </w:pPr>
            <w:r>
              <w:rPr>
                <w:b/>
                <w:bCs/>
                <w:color w:val="1A1A1A"/>
                <w:sz w:val="20"/>
                <w:szCs w:val="20"/>
              </w:rPr>
              <w:t xml:space="preserve">Auto-entrepreneur</w:t>
            </w:r>
          </w:p>
        </w:tc>
      </w:tr>
      <w:tr>
        <w:tc>
          <w:tcPr>
            <w:tcW w:type="dxa" w:w="4500"/>
            <w:shd w:fill="F9FAFB" w:val="clear"/>
          </w:tcPr>
          <w:p>
            <w:pPr>
              <w:spacing w:after="80" w:before="80"/>
              <w:ind w:left="100"/>
            </w:pPr>
            <w:r>
              <w:rPr>
                <w:color w:val="374151"/>
                <w:sz w:val="20"/>
                <w:szCs w:val="20"/>
              </w:rPr>
              <w:t xml:space="preserve">SIRET</w:t>
            </w:r>
          </w:p>
        </w:tc>
        <w:tc>
          <w:tcPr>
            <w:tcW w:type="dxa" w:w="4700"/>
            <w:shd w:fill="FFFFFF" w:val="clear"/>
          </w:tcPr>
          <w:p>
            <w:pPr>
              <w:spacing w:after="80" w:before="80"/>
              <w:ind w:left="100"/>
            </w:pPr>
            <w:r>
              <w:rPr>
                <w:b/>
                <w:bCs/>
                <w:color w:val="1A1A1A"/>
                <w:sz w:val="20"/>
                <w:szCs w:val="20"/>
              </w:rPr>
              <w:t xml:space="preserve">85312083000023</w:t>
            </w:r>
          </w:p>
        </w:tc>
      </w:tr>
      <w:tr>
        <w:tc>
          <w:tcPr>
            <w:tcW w:type="dxa" w:w="4500"/>
            <w:shd w:fill="F9FAFB" w:val="clear"/>
          </w:tcPr>
          <w:p>
            <w:pPr>
              <w:spacing w:after="80" w:before="80"/>
              <w:ind w:left="100"/>
            </w:pPr>
            <w:r>
              <w:rPr>
                <w:color w:val="374151"/>
                <w:sz w:val="20"/>
                <w:szCs w:val="20"/>
              </w:rPr>
              <w:t xml:space="preserve">Code NAF</w:t>
            </w:r>
          </w:p>
        </w:tc>
        <w:tc>
          <w:tcPr>
            <w:tcW w:type="dxa" w:w="4700"/>
            <w:shd w:fill="FFFFFF" w:val="clear"/>
          </w:tcPr>
          <w:p>
            <w:pPr>
              <w:spacing w:after="80" w:before="80"/>
              <w:ind w:left="100"/>
            </w:pPr>
            <w:r>
              <w:rPr>
                <w:b/>
                <w:bCs/>
                <w:color w:val="1A1A1A"/>
                <w:sz w:val="20"/>
                <w:szCs w:val="20"/>
              </w:rPr>
              <w:t xml:space="preserve">7022Z</w:t>
            </w:r>
          </w:p>
        </w:tc>
      </w:tr>
      <w:tr>
        <w:tc>
          <w:tcPr>
            <w:tcW w:type="dxa" w:w="4500"/>
            <w:shd w:fill="F9FAFB" w:val="clear"/>
          </w:tcPr>
          <w:p>
            <w:pPr>
              <w:spacing w:after="80" w:before="80"/>
              <w:ind w:left="100"/>
            </w:pPr>
            <w:r>
              <w:rPr>
                <w:color w:val="374151"/>
                <w:sz w:val="20"/>
                <w:szCs w:val="20"/>
              </w:rPr>
              <w:t xml:space="preserve">Adresse</w:t>
            </w:r>
          </w:p>
        </w:tc>
        <w:tc>
          <w:tcPr>
            <w:tcW w:type="dxa" w:w="4700"/>
            <w:shd w:fill="FFFFFF" w:val="clear"/>
          </w:tcPr>
          <w:p>
            <w:pPr>
              <w:spacing w:after="80" w:before="80"/>
              <w:ind w:left="100"/>
            </w:pPr>
            <w:r>
              <w:rPr>
                <w:b/>
                <w:bCs/>
                <w:color w:val="1A1A1A"/>
                <w:sz w:val="20"/>
                <w:szCs w:val="20"/>
              </w:rPr>
              <w:t xml:space="preserve">2 Pas du Buisson Saint Louis, 75010 Paris, France</w:t>
            </w:r>
          </w:p>
        </w:tc>
      </w:tr>
      <w:tr>
        <w:tc>
          <w:tcPr>
            <w:tcW w:type="dxa" w:w="4500"/>
            <w:shd w:fill="F9FAFB" w:val="clear"/>
          </w:tcPr>
          <w:p>
            <w:pPr>
              <w:spacing w:after="80" w:before="80"/>
              <w:ind w:left="100"/>
            </w:pPr>
            <w:r>
              <w:rPr>
                <w:color w:val="374151"/>
                <w:sz w:val="20"/>
                <w:szCs w:val="20"/>
              </w:rPr>
              <w:t xml:space="preserve">SIREN</w:t>
            </w:r>
          </w:p>
        </w:tc>
        <w:tc>
          <w:tcPr>
            <w:tcW w:type="dxa" w:w="4700"/>
            <w:shd w:fill="FFFFFF" w:val="clear"/>
          </w:tcPr>
          <w:p>
            <w:pPr>
              <w:spacing w:after="80" w:before="80"/>
              <w:ind w:left="100"/>
            </w:pPr>
            <w:r>
              <w:rPr>
                <w:b/>
                <w:bCs/>
                <w:color w:val="1A1A1A"/>
                <w:sz w:val="20"/>
                <w:szCs w:val="20"/>
              </w:rPr>
              <w:t xml:space="preserve">853120830</w:t>
            </w:r>
          </w:p>
        </w:tc>
      </w:tr>
      <w:tr>
        <w:tc>
          <w:tcPr>
            <w:tcW w:type="dxa" w:w="4500"/>
            <w:shd w:fill="F9FAFB" w:val="clear"/>
          </w:tcPr>
          <w:p>
            <w:pPr>
              <w:spacing w:after="80" w:before="80"/>
              <w:ind w:left="100"/>
            </w:pPr>
            <w:r>
              <w:rPr>
                <w:color w:val="374151"/>
                <w:sz w:val="20"/>
                <w:szCs w:val="20"/>
              </w:rPr>
              <w:t xml:space="preserve">Actif depuis</w:t>
            </w:r>
          </w:p>
        </w:tc>
        <w:tc>
          <w:tcPr>
            <w:tcW w:type="dxa" w:w="4700"/>
            <w:shd w:fill="FFFFFF" w:val="clear"/>
          </w:tcPr>
          <w:p>
            <w:pPr>
              <w:spacing w:after="80" w:before="80"/>
              <w:ind w:left="100"/>
            </w:pPr>
            <w:r>
              <w:rPr>
                <w:b/>
                <w:bCs/>
                <w:color w:val="1A1A1A"/>
                <w:sz w:val="20"/>
                <w:szCs w:val="20"/>
              </w:rPr>
              <w:t xml:space="preserve">14 septembre 2024</w:t>
            </w:r>
          </w:p>
        </w:tc>
      </w:tr>
    </w:tbl>
    <w:p>
      <w:pPr>
        <w:spacing w:after="0" w:before="60"/>
      </w:pPr>
      <w:r>
        <w:rPr>
          <w:i/>
          <w:iCs/>
          <w:color w:val="6B7280"/>
          <w:sz w:val="20"/>
          <w:szCs w:val="20"/>
        </w:rPr>
        <w:t xml:space="preserve">Ci-après dénommé « GenTrack » ou « le Donneur d'ordre »,</w:t>
      </w:r>
    </w:p>
    <w:p>
      <w:pPr>
        <w:spacing w:after="0" w:before="160"/>
      </w:pPr>
      <w:r>
        <w:t xml:space="preserve"/>
      </w:r>
    </w:p>
    <w:p>
      <w:pPr>
        <w:spacing w:after="100" w:before="0"/>
      </w:pPr>
      <w:r>
        <w:rPr>
          <w:b/>
          <w:bCs/>
          <w:color w:val="F5A623"/>
          <w:sz w:val="22"/>
          <w:szCs w:val="22"/>
        </w:rPr>
        <w:t xml:space="preserve">Le Prestataire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c>
          <w:tcPr>
            <w:tcW w:type="dxa" w:w="4500"/>
            <w:shd w:fill="F9FAFB" w:val="clear"/>
          </w:tcPr>
          <w:p>
            <w:pPr>
              <w:spacing w:after="80" w:before="80"/>
              <w:ind w:left="100"/>
            </w:pPr>
            <w:r>
              <w:rPr>
                <w:color w:val="374151"/>
                <w:sz w:val="20"/>
                <w:szCs w:val="20"/>
              </w:rPr>
              <w:t xml:space="preserve">Nom et prénom</w:t>
            </w:r>
          </w:p>
        </w:tc>
        <w:tc>
          <w:tcPr>
            <w:tcW w:type="dxa" w:w="4700"/>
            <w:shd w:fill="FFFFFF" w:val="clear"/>
          </w:tcPr>
          <w:p>
            <w:pPr>
              <w:spacing w:after="80" w:before="80"/>
              <w:ind w:left="100"/>
            </w:pPr>
            <w:r>
              <w:rPr>
                <w:b/>
                <w:bCs/>
                <w:color w:val="1A1A1A"/>
                <w:sz w:val="20"/>
                <w:szCs w:val="20"/>
              </w:rPr>
              <w:t xml:space="preserve">[●]</w:t>
            </w:r>
          </w:p>
        </w:tc>
      </w:tr>
      <w:tr>
        <w:tc>
          <w:tcPr>
            <w:tcW w:type="dxa" w:w="4500"/>
            <w:shd w:fill="F9FAFB" w:val="clear"/>
          </w:tcPr>
          <w:p>
            <w:pPr>
              <w:spacing w:after="80" w:before="80"/>
              <w:ind w:left="100"/>
            </w:pPr>
            <w:r>
              <w:rPr>
                <w:color w:val="374151"/>
                <w:sz w:val="20"/>
                <w:szCs w:val="20"/>
              </w:rPr>
              <w:t xml:space="preserve">Adresse</w:t>
            </w:r>
          </w:p>
        </w:tc>
        <w:tc>
          <w:tcPr>
            <w:tcW w:type="dxa" w:w="4700"/>
            <w:shd w:fill="FFFFFF" w:val="clear"/>
          </w:tcPr>
          <w:p>
            <w:pPr>
              <w:spacing w:after="80" w:before="80"/>
              <w:ind w:left="100"/>
            </w:pPr>
            <w:r>
              <w:rPr>
                <w:b/>
                <w:bCs/>
                <w:color w:val="1A1A1A"/>
                <w:sz w:val="20"/>
                <w:szCs w:val="20"/>
              </w:rPr>
              <w:t xml:space="preserve">[●]</w:t>
            </w:r>
          </w:p>
        </w:tc>
      </w:tr>
      <w:tr>
        <w:tc>
          <w:tcPr>
            <w:tcW w:type="dxa" w:w="4500"/>
            <w:shd w:fill="F9FAFB" w:val="clear"/>
          </w:tcPr>
          <w:p>
            <w:pPr>
              <w:spacing w:after="80" w:before="80"/>
              <w:ind w:left="100"/>
            </w:pPr>
            <w:r>
              <w:rPr>
                <w:color w:val="374151"/>
                <w:sz w:val="20"/>
                <w:szCs w:val="20"/>
              </w:rPr>
              <w:t xml:space="preserve">Téléphone / WhatsApp</w:t>
            </w:r>
          </w:p>
        </w:tc>
        <w:tc>
          <w:tcPr>
            <w:tcW w:type="dxa" w:w="4700"/>
            <w:shd w:fill="FFFFFF" w:val="clear"/>
          </w:tcPr>
          <w:p>
            <w:pPr>
              <w:spacing w:after="80" w:before="80"/>
              <w:ind w:left="100"/>
            </w:pPr>
            <w:r>
              <w:rPr>
                <w:b/>
                <w:bCs/>
                <w:color w:val="1A1A1A"/>
                <w:sz w:val="20"/>
                <w:szCs w:val="20"/>
              </w:rPr>
              <w:t xml:space="preserve">[●]</w:t>
            </w:r>
          </w:p>
        </w:tc>
      </w:tr>
      <w:tr>
        <w:tc>
          <w:tcPr>
            <w:tcW w:type="dxa" w:w="4500"/>
            <w:shd w:fill="F9FAFB" w:val="clear"/>
          </w:tcPr>
          <w:p>
            <w:pPr>
              <w:spacing w:after="80" w:before="80"/>
              <w:ind w:left="100"/>
            </w:pPr>
            <w:r>
              <w:rPr>
                <w:color w:val="374151"/>
                <w:sz w:val="20"/>
                <w:szCs w:val="20"/>
              </w:rPr>
              <w:t xml:space="preserve">E-mail</w:t>
            </w:r>
          </w:p>
        </w:tc>
        <w:tc>
          <w:tcPr>
            <w:tcW w:type="dxa" w:w="4700"/>
            <w:shd w:fill="FFFFFF" w:val="clear"/>
          </w:tcPr>
          <w:p>
            <w:pPr>
              <w:spacing w:after="80" w:before="80"/>
              <w:ind w:left="100"/>
            </w:pPr>
            <w:r>
              <w:rPr>
                <w:b/>
                <w:bCs/>
                <w:color w:val="1A1A1A"/>
                <w:sz w:val="20"/>
                <w:szCs w:val="20"/>
              </w:rPr>
              <w:t xml:space="preserve">[●]</w:t>
            </w:r>
          </w:p>
        </w:tc>
      </w:tr>
      <w:tr>
        <w:tc>
          <w:tcPr>
            <w:tcW w:type="dxa" w:w="4500"/>
            <w:shd w:fill="F9FAFB" w:val="clear"/>
          </w:tcPr>
          <w:p>
            <w:pPr>
              <w:spacing w:after="80" w:before="80"/>
              <w:ind w:left="100"/>
            </w:pPr>
            <w:r>
              <w:rPr>
                <w:color w:val="374151"/>
                <w:sz w:val="20"/>
                <w:szCs w:val="20"/>
              </w:rPr>
              <w:t xml:space="preserve">Numéro Wave / Orange Money</w:t>
            </w:r>
          </w:p>
        </w:tc>
        <w:tc>
          <w:tcPr>
            <w:tcW w:type="dxa" w:w="4700"/>
            <w:shd w:fill="FFFFFF" w:val="clear"/>
          </w:tcPr>
          <w:p>
            <w:pPr>
              <w:spacing w:after="80" w:before="80"/>
              <w:ind w:left="100"/>
            </w:pPr>
            <w:r>
              <w:rPr>
                <w:b/>
                <w:bCs/>
                <w:color w:val="1A1A1A"/>
                <w:sz w:val="20"/>
                <w:szCs w:val="20"/>
              </w:rPr>
              <w:t xml:space="preserve">[●]</w:t>
            </w:r>
          </w:p>
        </w:tc>
      </w:tr>
    </w:tbl>
    <w:p>
      <w:pPr>
        <w:spacing w:after="0" w:before="60"/>
      </w:pPr>
      <w:r>
        <w:rPr>
          <w:i/>
          <w:iCs/>
          <w:color w:val="6B7280"/>
          <w:sz w:val="20"/>
          <w:szCs w:val="20"/>
        </w:rPr>
        <w:t xml:space="preserve">Ci-après dénommé « le Prestataire »,</w:t>
      </w:r>
    </w:p>
    <w:p>
      <w:pPr>
        <w:spacing w:after="0" w:before="160"/>
      </w:pPr>
      <w:r>
        <w:t xml:space="preserve"/>
      </w:r>
    </w:p>
    <w:p>
      <w:pPr>
        <w:spacing w:after="60" w:before="60"/>
      </w:pPr>
      <w:r>
        <w:rPr>
          <w:color w:val="374151"/>
          <w:sz w:val="21"/>
          <w:szCs w:val="21"/>
        </w:rPr>
        <w:t xml:space="preserve">Ensemble dénommés « les Parties », il est convenu ce qui suit :</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A1A1A" w:val="clear"/>
          </w:tcPr>
          <w:p>
            <w:pPr>
              <w:spacing w:after="120" w:before="120"/>
              <w:jc w:val="center"/>
            </w:pPr>
            <w:r>
              <w:rPr>
                <w:b/>
                <w:bCs/>
                <w:caps/>
                <w:color w:val="FFFFFF"/>
                <w:sz w:val="24"/>
                <w:szCs w:val="24"/>
              </w:rPr>
              <w:t xml:space="preserve">Dispositions générales</w:t>
            </w:r>
          </w:p>
        </w:tc>
      </w:tr>
    </w:tbl>
    <w:p>
      <w:pPr>
        <w:spacing w:after="0" w:before="120"/>
      </w:pPr>
      <w:r>
        <w:t xml:space="preserve"/>
      </w:r>
    </w:p>
    <w:p>
      <w:pPr>
        <w:spacing w:after="100" w:before="340"/>
      </w:pPr>
      <w:r>
        <w:rPr>
          <w:b/>
          <w:bCs/>
          <w:color w:val="F5A623"/>
          <w:sz w:val="24"/>
          <w:szCs w:val="24"/>
        </w:rPr>
        <w:t xml:space="preserve">Article 1 — </w:t>
      </w:r>
      <w:r>
        <w:rPr>
          <w:b/>
          <w:bCs/>
          <w:color w:val="1A1A1A"/>
          <w:sz w:val="24"/>
          <w:szCs w:val="24"/>
        </w:rPr>
        <w:t xml:space="preserve">Objet du contrat</w:t>
      </w:r>
    </w:p>
    <w:p>
      <w:pPr>
        <w:spacing w:after="60" w:before="60"/>
      </w:pPr>
      <w:r>
        <w:rPr>
          <w:color w:val="374151"/>
          <w:sz w:val="21"/>
          <w:szCs w:val="21"/>
        </w:rPr>
        <w:t xml:space="preserve">Le présent contrat définit les conditions dans lesquelles le Prestataire réalise, à la demande du Donneur d'ordre, des missions ponctuelles de déploiement terrain de la solution GenTrack auprès d'hôtels participant à un pilote.</w:t>
      </w:r>
    </w:p>
    <w:p>
      <w:pPr>
        <w:spacing w:after="60" w:before="60"/>
      </w:pPr>
      <w:r>
        <w:rPr>
          <w:color w:val="374151"/>
          <w:sz w:val="21"/>
          <w:szCs w:val="21"/>
        </w:rPr>
        <w:t xml:space="preserve">Le Prestataire intervient principalement après que le Donneur d'ordre a obtenu un rendez-vous avec l'hôtel. Sa mission consiste à faciliter la configuration, la formation des utilisateurs et le premier usage opérationnel de GenTrack.</w:t>
      </w:r>
    </w:p>
    <w:p>
      <w:pPr>
        <w:spacing w:after="100" w:before="340"/>
      </w:pPr>
      <w:r>
        <w:rPr>
          <w:b/>
          <w:bCs/>
          <w:color w:val="F5A623"/>
          <w:sz w:val="24"/>
          <w:szCs w:val="24"/>
        </w:rPr>
        <w:t xml:space="preserve">Article 2 — </w:t>
      </w:r>
      <w:r>
        <w:rPr>
          <w:b/>
          <w:bCs/>
          <w:color w:val="1A1A1A"/>
          <w:sz w:val="24"/>
          <w:szCs w:val="24"/>
        </w:rPr>
        <w:t xml:space="preserve">Nature de la collaboration</w:t>
      </w:r>
    </w:p>
    <w:p>
      <w:pPr>
        <w:spacing w:after="60" w:before="60"/>
      </w:pPr>
      <w:r>
        <w:rPr>
          <w:color w:val="374151"/>
          <w:sz w:val="21"/>
          <w:szCs w:val="21"/>
        </w:rPr>
        <w:t xml:space="preserve">Le Prestataire intervient en qualité de prestataire indépendant. Le présent contrat ne constitue pas un contrat de travail et ne crée pas de lien de subordination entre les Parties.</w:t>
      </w:r>
    </w:p>
    <w:p>
      <w:pPr>
        <w:spacing w:after="60" w:before="60"/>
      </w:pPr>
      <w:r>
        <w:rPr>
          <w:color w:val="374151"/>
          <w:sz w:val="21"/>
          <w:szCs w:val="21"/>
        </w:rPr>
        <w:t xml:space="preserve">Le Prestataire reste libre d'accepter ou de refuser les missions qui lui sont proposées, et peut exercer d'autres activités professionnelles sous réserve de respecter ses obligations de confidentialité et de ne pas créer de conflit d'intérêts avec GenTrack.</w:t>
      </w:r>
    </w:p>
    <w:p>
      <w:pPr>
        <w:spacing w:after="100" w:before="340"/>
      </w:pPr>
      <w:r>
        <w:rPr>
          <w:b/>
          <w:bCs/>
          <w:color w:val="F5A623"/>
          <w:sz w:val="24"/>
          <w:szCs w:val="24"/>
        </w:rPr>
        <w:t xml:space="preserve">Article 3 — </w:t>
      </w:r>
      <w:r>
        <w:rPr>
          <w:b/>
          <w:bCs/>
          <w:color w:val="1A1A1A"/>
          <w:sz w:val="24"/>
          <w:szCs w:val="24"/>
        </w:rPr>
        <w:t xml:space="preserve">Missions du Prestataire</w:t>
      </w:r>
    </w:p>
    <w:p>
      <w:pPr>
        <w:spacing w:after="60" w:before="60"/>
      </w:pPr>
      <w:r>
        <w:rPr>
          <w:color w:val="374151"/>
          <w:sz w:val="21"/>
          <w:szCs w:val="21"/>
        </w:rPr>
        <w:t xml:space="preserve">Pour chaque mission, le Prestataire est notamment chargé de :</w:t>
      </w:r>
    </w:p>
    <w:p>
      <w:pPr>
        <w:spacing w:after="50" w:before="50"/>
        <w:ind w:left="431"/>
      </w:pPr>
      <w:r>
        <w:rPr>
          <w:b/>
          <w:bCs/>
          <w:color w:val="F5A623"/>
          <w:sz w:val="21"/>
          <w:szCs w:val="21"/>
        </w:rPr>
        <w:t xml:space="preserve">• </w:t>
      </w:r>
      <w:r>
        <w:rPr>
          <w:color w:val="374151"/>
          <w:sz w:val="21"/>
          <w:szCs w:val="21"/>
        </w:rPr>
        <w:t xml:space="preserve">Se rendre dans l'hôtel concerné au rendez-vous fixé</w:t>
      </w:r>
    </w:p>
    <w:p>
      <w:pPr>
        <w:spacing w:after="50" w:before="50"/>
        <w:ind w:left="431"/>
      </w:pPr>
      <w:r>
        <w:rPr>
          <w:b/>
          <w:bCs/>
          <w:color w:val="F5A623"/>
          <w:sz w:val="21"/>
          <w:szCs w:val="21"/>
        </w:rPr>
        <w:t xml:space="preserve">• </w:t>
      </w:r>
      <w:r>
        <w:rPr>
          <w:color w:val="374151"/>
          <w:sz w:val="21"/>
          <w:szCs w:val="21"/>
        </w:rPr>
        <w:t xml:space="preserve">Rencontrer le responsable technique ou l'interlocuteur désigné</w:t>
      </w:r>
    </w:p>
    <w:p>
      <w:pPr>
        <w:spacing w:after="50" w:before="50"/>
        <w:ind w:left="431"/>
      </w:pPr>
      <w:r>
        <w:rPr>
          <w:b/>
          <w:bCs/>
          <w:color w:val="F5A623"/>
          <w:sz w:val="21"/>
          <w:szCs w:val="21"/>
        </w:rPr>
        <w:t xml:space="preserve">• </w:t>
      </w:r>
      <w:r>
        <w:rPr>
          <w:color w:val="374151"/>
          <w:sz w:val="21"/>
          <w:szCs w:val="21"/>
        </w:rPr>
        <w:t xml:space="preserve">Récupérer les informations techniques relatives aux équipements (GE, cuves, CF…)</w:t>
      </w:r>
    </w:p>
    <w:p>
      <w:pPr>
        <w:spacing w:after="50" w:before="50"/>
        <w:ind w:left="431"/>
      </w:pPr>
      <w:r>
        <w:rPr>
          <w:b/>
          <w:bCs/>
          <w:color w:val="F5A623"/>
          <w:sz w:val="21"/>
          <w:szCs w:val="21"/>
        </w:rPr>
        <w:t xml:space="preserve">• </w:t>
      </w:r>
      <w:r>
        <w:rPr>
          <w:color w:val="374151"/>
          <w:sz w:val="21"/>
          <w:szCs w:val="21"/>
        </w:rPr>
        <w:t xml:space="preserve">Compléter le formulaire de configuration GenTrack et paramétrer le site</w:t>
      </w:r>
    </w:p>
    <w:p>
      <w:pPr>
        <w:spacing w:after="50" w:before="50"/>
        <w:ind w:left="431"/>
      </w:pPr>
      <w:r>
        <w:rPr>
          <w:b/>
          <w:bCs/>
          <w:color w:val="F5A623"/>
          <w:sz w:val="21"/>
          <w:szCs w:val="21"/>
        </w:rPr>
        <w:t xml:space="preserve">• </w:t>
      </w:r>
      <w:r>
        <w:rPr>
          <w:color w:val="374151"/>
          <w:sz w:val="21"/>
          <w:szCs w:val="21"/>
        </w:rPr>
        <w:t xml:space="preserve">Créer ou ajouter les utilisateurs nécessaires dans le système</w:t>
      </w:r>
    </w:p>
    <w:p>
      <w:pPr>
        <w:spacing w:after="50" w:before="50"/>
        <w:ind w:left="431"/>
      </w:pPr>
      <w:r>
        <w:rPr>
          <w:b/>
          <w:bCs/>
          <w:color w:val="F5A623"/>
          <w:sz w:val="21"/>
          <w:szCs w:val="21"/>
        </w:rPr>
        <w:t xml:space="preserve">• </w:t>
      </w:r>
      <w:r>
        <w:rPr>
          <w:color w:val="374151"/>
          <w:sz w:val="21"/>
          <w:szCs w:val="21"/>
        </w:rPr>
        <w:t xml:space="preserve">Accompagner l'activation du bot GenTrack sur WhatsApp</w:t>
      </w:r>
    </w:p>
    <w:p>
      <w:pPr>
        <w:spacing w:after="50" w:before="50"/>
        <w:ind w:left="431"/>
      </w:pPr>
      <w:r>
        <w:rPr>
          <w:b/>
          <w:bCs/>
          <w:color w:val="F5A623"/>
          <w:sz w:val="21"/>
          <w:szCs w:val="21"/>
        </w:rPr>
        <w:t xml:space="preserve">• </w:t>
      </w:r>
      <w:r>
        <w:rPr>
          <w:color w:val="374151"/>
          <w:sz w:val="21"/>
          <w:szCs w:val="21"/>
        </w:rPr>
        <w:t xml:space="preserve">Expliquer aux techniciens la procédure de saisie des rondes et relevés</w:t>
      </w:r>
    </w:p>
    <w:p>
      <w:pPr>
        <w:spacing w:after="50" w:before="50"/>
        <w:ind w:left="431"/>
      </w:pPr>
      <w:r>
        <w:rPr>
          <w:b/>
          <w:bCs/>
          <w:color w:val="F5A623"/>
          <w:sz w:val="21"/>
          <w:szCs w:val="21"/>
        </w:rPr>
        <w:t xml:space="preserve">• </w:t>
      </w:r>
      <w:r>
        <w:rPr>
          <w:color w:val="374151"/>
          <w:sz w:val="21"/>
          <w:szCs w:val="21"/>
        </w:rPr>
        <w:t xml:space="preserve">Effectuer avec les techniciens le premier usage réel de GenTrack</w:t>
      </w:r>
    </w:p>
    <w:p>
      <w:pPr>
        <w:spacing w:after="50" w:before="50"/>
        <w:ind w:left="431"/>
      </w:pPr>
      <w:r>
        <w:rPr>
          <w:b/>
          <w:bCs/>
          <w:color w:val="F5A623"/>
          <w:sz w:val="21"/>
          <w:szCs w:val="21"/>
        </w:rPr>
        <w:t xml:space="preserve">• </w:t>
      </w:r>
      <w:r>
        <w:rPr>
          <w:color w:val="374151"/>
          <w:sz w:val="21"/>
          <w:szCs w:val="21"/>
        </w:rPr>
        <w:t xml:space="preserve">Vérifier que les données remontent correctement dans le dashboard</w:t>
      </w:r>
    </w:p>
    <w:p>
      <w:pPr>
        <w:spacing w:after="50" w:before="50"/>
        <w:ind w:left="431"/>
      </w:pPr>
      <w:r>
        <w:rPr>
          <w:b/>
          <w:bCs/>
          <w:color w:val="F5A623"/>
          <w:sz w:val="21"/>
          <w:szCs w:val="21"/>
        </w:rPr>
        <w:t xml:space="preserve">• </w:t>
      </w:r>
      <w:r>
        <w:rPr>
          <w:color w:val="374151"/>
          <w:sz w:val="21"/>
          <w:szCs w:val="21"/>
        </w:rPr>
        <w:t xml:space="preserve">Signaler toute difficulté rencontrée</w:t>
      </w:r>
    </w:p>
    <w:p>
      <w:pPr>
        <w:spacing w:after="50" w:before="50"/>
        <w:ind w:left="431"/>
      </w:pPr>
      <w:r>
        <w:rPr>
          <w:b/>
          <w:bCs/>
          <w:color w:val="F5A623"/>
          <w:sz w:val="21"/>
          <w:szCs w:val="21"/>
        </w:rPr>
        <w:t xml:space="preserve">• </w:t>
      </w:r>
      <w:r>
        <w:rPr>
          <w:color w:val="374151"/>
          <w:sz w:val="21"/>
          <w:szCs w:val="21"/>
        </w:rPr>
        <w:t xml:space="preserve">Transmettre au Donneur d'ordre un compte rendu de mission</w:t>
      </w:r>
    </w:p>
    <w:p>
      <w:pPr>
        <w:spacing w:after="0" w:before="80"/>
      </w:pPr>
      <w:r>
        <w:t xml:space="preserve"/>
      </w:r>
    </w:p>
    <w:p>
      <w:pPr>
        <w:spacing w:after="60" w:before="60"/>
      </w:pPr>
      <w:r>
        <w:rPr>
          <w:b/>
          <w:bCs/>
          <w:color w:val="374151"/>
          <w:sz w:val="21"/>
          <w:szCs w:val="21"/>
        </w:rPr>
        <w:t xml:space="preserve">Objectif attendu : </w:t>
      </w:r>
      <w:r>
        <w:rPr>
          <w:color w:val="374151"/>
          <w:sz w:val="21"/>
          <w:szCs w:val="21"/>
        </w:rPr>
        <w:t xml:space="preserve">dans la mesure du possible, le pilote doit être opérationnel à la fin de l'intervention.</w:t>
      </w:r>
    </w:p>
    <w:p>
      <w:pPr>
        <w:spacing w:after="100" w:before="340"/>
      </w:pPr>
      <w:r>
        <w:rPr>
          <w:b/>
          <w:bCs/>
          <w:color w:val="F5A623"/>
          <w:sz w:val="24"/>
          <w:szCs w:val="24"/>
        </w:rPr>
        <w:t xml:space="preserve">Article 4 — </w:t>
      </w:r>
      <w:r>
        <w:rPr>
          <w:b/>
          <w:bCs/>
          <w:color w:val="1A1A1A"/>
          <w:sz w:val="24"/>
          <w:szCs w:val="24"/>
        </w:rPr>
        <w:t xml:space="preserve">Rôle commercial</w:t>
      </w:r>
    </w:p>
    <w:p>
      <w:pPr>
        <w:spacing w:after="60" w:before="60"/>
      </w:pPr>
      <w:r>
        <w:rPr>
          <w:color w:val="374151"/>
          <w:sz w:val="21"/>
          <w:szCs w:val="21"/>
        </w:rPr>
        <w:t xml:space="preserve">Le Donneur d'ordre conserve la responsabilité exclusive de la prospection, de la prise de rendez-vous, des négociations commerciales, de la fixation des tarifs et de la signature des contrats avec les hôtels.</w:t>
      </w:r>
    </w:p>
    <w:p>
      <w:pPr>
        <w:spacing w:after="60" w:before="60"/>
      </w:pPr>
      <w:r>
        <w:rPr>
          <w:color w:val="374151"/>
          <w:sz w:val="21"/>
          <w:szCs w:val="21"/>
        </w:rPr>
        <w:t xml:space="preserve">Le Prestataire n'est pas autorisé à modifier les tarifs GenTrack, accorder une remise, négocier un contrat, prendre un engagement financier ou promettre un développement au nom de GenTrack. Toute demande commerciale reçue doit être immédiatement transmise au Donneur d'ordre.</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A1A1A" w:val="clear"/>
          </w:tcPr>
          <w:p>
            <w:pPr>
              <w:spacing w:after="120" w:before="120"/>
              <w:jc w:val="center"/>
            </w:pPr>
            <w:r>
              <w:rPr>
                <w:b/>
                <w:bCs/>
                <w:caps/>
                <w:color w:val="FFFFFF"/>
                <w:sz w:val="24"/>
                <w:szCs w:val="24"/>
              </w:rPr>
              <w:t xml:space="preserve">Déroulement et rémunération</w:t>
            </w:r>
          </w:p>
        </w:tc>
      </w:tr>
    </w:tbl>
    <w:p>
      <w:pPr>
        <w:spacing w:after="0" w:before="120"/>
      </w:pPr>
      <w:r>
        <w:t xml:space="preserve"/>
      </w:r>
    </w:p>
    <w:p>
      <w:pPr>
        <w:spacing w:after="100" w:before="340"/>
      </w:pPr>
      <w:r>
        <w:rPr>
          <w:b/>
          <w:bCs/>
          <w:color w:val="F5A623"/>
          <w:sz w:val="24"/>
          <w:szCs w:val="24"/>
        </w:rPr>
        <w:t xml:space="preserve">Article 5 — </w:t>
      </w:r>
      <w:r>
        <w:rPr>
          <w:b/>
          <w:bCs/>
          <w:color w:val="1A1A1A"/>
          <w:sz w:val="24"/>
          <w:szCs w:val="24"/>
        </w:rPr>
        <w:t xml:space="preserve">Déroulement d'une mission</w:t>
      </w:r>
    </w:p>
    <w:p>
      <w:pPr>
        <w:spacing w:after="60" w:before="60"/>
      </w:pPr>
      <w:r>
        <w:rPr>
          <w:color w:val="374151"/>
          <w:sz w:val="21"/>
          <w:szCs w:val="21"/>
        </w:rPr>
        <w:t xml:space="preserve">Pour chaque mission, le Donneur d'ordre communique au Prestataire : le nom et coordonnées de l'hôtel, les coordonnées du contact sur site, la date et l'heure du rendez-vous, le contexte du pilote, les informations déjà communiquées au client et les objectifs spécifiques du déploiement.</w:t>
      </w:r>
    </w:p>
    <w:p>
      <w:pPr>
        <w:spacing w:after="60" w:before="60"/>
      </w:pPr>
      <w:r>
        <w:rPr>
          <w:color w:val="374151"/>
          <w:sz w:val="21"/>
          <w:szCs w:val="21"/>
        </w:rPr>
        <w:t xml:space="preserve">À l'issue de la mission, le Prestataire transmet un compte rendu comprenant : les équipements configurés, les utilisateurs créés, l'état du premier usage, les difficultés éventuelles, les demandes de l'hôtel et les actions restant à effectuer.</w:t>
      </w:r>
    </w:p>
    <w:p>
      <w:pPr>
        <w:spacing w:after="100" w:before="340"/>
      </w:pPr>
      <w:r>
        <w:rPr>
          <w:b/>
          <w:bCs/>
          <w:color w:val="F5A623"/>
          <w:sz w:val="24"/>
          <w:szCs w:val="24"/>
        </w:rPr>
        <w:t xml:space="preserve">Article 6 — </w:t>
      </w:r>
      <w:r>
        <w:rPr>
          <w:b/>
          <w:bCs/>
          <w:color w:val="1A1A1A"/>
          <w:sz w:val="24"/>
          <w:szCs w:val="24"/>
        </w:rPr>
        <w:t xml:space="preserve">Rémunération</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200"/>
        <w:gridCol w:w="3000"/>
      </w:tblGrid>
      <w:tr>
        <w:tc>
          <w:tcPr>
            <w:tcW w:type="dxa" w:w="6200"/>
            <w:shd w:fill="1A1A1A" w:val="clear"/>
          </w:tcPr>
          <w:p>
            <w:pPr>
              <w:spacing w:after="80" w:before="80"/>
              <w:jc w:val="center"/>
            </w:pPr>
            <w:r>
              <w:rPr>
                <w:b/>
                <w:bCs/>
                <w:color w:val="FFFFFF"/>
                <w:sz w:val="20"/>
                <w:szCs w:val="20"/>
              </w:rPr>
              <w:t xml:space="preserve">Type de mission</w:t>
            </w:r>
          </w:p>
        </w:tc>
        <w:tc>
          <w:tcPr>
            <w:tcW w:type="dxa" w:w="3000"/>
            <w:shd w:fill="1A1A1A" w:val="clear"/>
          </w:tcPr>
          <w:p>
            <w:pPr>
              <w:spacing w:after="80" w:before="80"/>
              <w:jc w:val="center"/>
            </w:pPr>
            <w:r>
              <w:rPr>
                <w:b/>
                <w:bCs/>
                <w:color w:val="FFFFFF"/>
                <w:sz w:val="20"/>
                <w:szCs w:val="20"/>
              </w:rPr>
              <w:t xml:space="preserve">Rémunération</w:t>
            </w:r>
          </w:p>
        </w:tc>
      </w:tr>
      <w:tr>
        <w:tc>
          <w:tcPr>
            <w:tcW w:type="dxa" w:w="6200"/>
            <w:shd w:fill="FFFFFF" w:val="clear"/>
          </w:tcPr>
          <w:p>
            <w:pPr>
              <w:spacing w:after="80" w:before="80"/>
              <w:ind w:left="100"/>
            </w:pPr>
            <w:r>
              <w:rPr>
                <w:color w:val="374151"/>
                <w:sz w:val="20"/>
                <w:szCs w:val="20"/>
              </w:rPr>
              <w:t xml:space="preserve">Mission simple de configuration</w:t>
            </w:r>
          </w:p>
        </w:tc>
        <w:tc>
          <w:tcPr>
            <w:tcW w:type="dxa" w:w="3000"/>
            <w:shd w:fill="FFF8EE" w:val="clear"/>
          </w:tcPr>
          <w:p>
            <w:pPr>
              <w:spacing w:after="80" w:before="80"/>
              <w:jc w:val="center"/>
            </w:pPr>
            <w:r>
              <w:rPr>
                <w:b w:val="false"/>
                <w:bCs w:val="false"/>
                <w:color w:val="1A1A1A"/>
                <w:sz w:val="20"/>
                <w:szCs w:val="20"/>
              </w:rPr>
              <w:t xml:space="preserve">20 000 FCFA</w:t>
            </w:r>
          </w:p>
        </w:tc>
      </w:tr>
      <w:tr>
        <w:tc>
          <w:tcPr>
            <w:tcW w:type="dxa" w:w="6200"/>
            <w:shd w:fill="F9FAFB" w:val="clear"/>
          </w:tcPr>
          <w:p>
            <w:pPr>
              <w:spacing w:after="80" w:before="80"/>
              <w:ind w:left="100"/>
            </w:pPr>
            <w:r>
              <w:rPr>
                <w:color w:val="374151"/>
                <w:sz w:val="20"/>
                <w:szCs w:val="20"/>
              </w:rPr>
              <w:t xml:space="preserve">Configuration + formation + premier usage (standard)</w:t>
            </w:r>
          </w:p>
        </w:tc>
        <w:tc>
          <w:tcPr>
            <w:tcW w:type="dxa" w:w="3000"/>
            <w:shd w:fill="FFF8EE" w:val="clear"/>
          </w:tcPr>
          <w:p>
            <w:pPr>
              <w:spacing w:after="80" w:before="80"/>
              <w:jc w:val="center"/>
            </w:pPr>
            <w:r>
              <w:rPr>
                <w:b/>
                <w:bCs/>
                <w:color w:val="1A1A1A"/>
                <w:sz w:val="20"/>
                <w:szCs w:val="20"/>
              </w:rPr>
              <w:t xml:space="preserve">25 000 FCFA</w:t>
            </w:r>
          </w:p>
        </w:tc>
      </w:tr>
      <w:tr>
        <w:tc>
          <w:tcPr>
            <w:tcW w:type="dxa" w:w="6200"/>
            <w:shd w:fill="FFFFFF" w:val="clear"/>
          </w:tcPr>
          <w:p>
            <w:pPr>
              <w:spacing w:after="80" w:before="80"/>
              <w:ind w:left="100"/>
            </w:pPr>
            <w:r>
              <w:rPr>
                <w:color w:val="374151"/>
                <w:sz w:val="20"/>
                <w:szCs w:val="20"/>
              </w:rPr>
              <w:t xml:space="preserve">Mission complexe / intervention supplémentaire</w:t>
            </w:r>
          </w:p>
        </w:tc>
        <w:tc>
          <w:tcPr>
            <w:tcW w:type="dxa" w:w="3000"/>
            <w:shd w:fill="FFF8EE" w:val="clear"/>
          </w:tcPr>
          <w:p>
            <w:pPr>
              <w:spacing w:after="80" w:before="80"/>
              <w:jc w:val="center"/>
            </w:pPr>
            <w:r>
              <w:rPr>
                <w:b w:val="false"/>
                <w:bCs w:val="false"/>
                <w:color w:val="1A1A1A"/>
                <w:sz w:val="20"/>
                <w:szCs w:val="20"/>
              </w:rPr>
              <w:t xml:space="preserve">Jusqu'à 30 000 FCFA</w:t>
            </w:r>
          </w:p>
        </w:tc>
      </w:tr>
    </w:tbl>
    <w:p>
      <w:pPr>
        <w:spacing w:after="0" w:before="120"/>
      </w:pPr>
      <w:r>
        <w:t xml:space="preserve"/>
      </w:r>
    </w:p>
    <w:p>
      <w:pPr>
        <w:spacing w:after="60" w:before="60"/>
      </w:pPr>
      <w:r>
        <w:rPr>
          <w:color w:val="374151"/>
          <w:sz w:val="21"/>
          <w:szCs w:val="21"/>
        </w:rPr>
        <w:t xml:space="preserve">Le montant applicable à chaque mission est confirmé par écrit (e-mail ou message WhatsApp) avant son démarrage.</w:t>
      </w:r>
    </w:p>
    <w:p>
      <w:pPr>
        <w:spacing w:after="0" w:before="100"/>
      </w:pPr>
      <w:r>
        <w:t xml:space="preserve"/>
      </w:r>
    </w:p>
    <w:p>
      <w:pPr>
        <w:spacing w:after="80" w:before="100"/>
      </w:pPr>
      <w:r>
        <w:rPr>
          <w:b/>
          <w:bCs/>
          <w:color w:val="1A1A1A"/>
          <w:sz w:val="22"/>
          <w:szCs w:val="22"/>
        </w:rPr>
        <w:t xml:space="preserve">Frais de déplacement</w:t>
      </w:r>
    </w:p>
    <w:p>
      <w:pPr>
        <w:spacing w:after="60" w:before="60"/>
      </w:pPr>
      <w:r>
        <w:rPr>
          <w:b/>
          <w:bCs/>
          <w:color w:val="374151"/>
          <w:sz w:val="21"/>
          <w:szCs w:val="21"/>
        </w:rPr>
        <w:t xml:space="preserve">Mission dans Dakar : </w:t>
      </w:r>
      <w:r>
        <w:rPr>
          <w:color w:val="374151"/>
          <w:sz w:val="21"/>
          <w:szCs w:val="21"/>
        </w:rPr>
        <w:t xml:space="preserve">forfait fixe de 3 000 FCFA par mission, inclus dans la rémunération.</w:t>
      </w:r>
    </w:p>
    <w:p>
      <w:pPr>
        <w:spacing w:after="60" w:before="60"/>
      </w:pPr>
      <w:r>
        <w:rPr>
          <w:b/>
          <w:bCs/>
          <w:color w:val="374151"/>
          <w:sz w:val="21"/>
          <w:szCs w:val="21"/>
        </w:rPr>
        <w:t xml:space="preserve">Mission hors Dakar : </w:t>
      </w:r>
      <w:r>
        <w:rPr>
          <w:color w:val="374151"/>
          <w:sz w:val="21"/>
          <w:szCs w:val="21"/>
        </w:rPr>
        <w:t xml:space="preserve">montant négocié et validé par écrit avant la mission.</w:t>
      </w:r>
    </w:p>
    <w:p>
      <w:pPr>
        <w:spacing w:after="60" w:before="60"/>
      </w:pPr>
      <w:r>
        <w:rPr>
          <w:color w:val="374151"/>
          <w:sz w:val="21"/>
          <w:szCs w:val="21"/>
        </w:rPr>
        <w:t xml:space="preserve">Aucun frais supplémentaire ne sera pris en charge sans accord écrit préalable du Donneur d'ordre.</w:t>
      </w:r>
    </w:p>
    <w:p>
      <w:pPr>
        <w:spacing w:after="0" w:before="100"/>
      </w:pPr>
      <w:r>
        <w:t xml:space="preserve"/>
      </w:r>
    </w:p>
    <w:p>
      <w:pPr>
        <w:spacing w:after="80" w:before="100"/>
      </w:pPr>
      <w:r>
        <w:rPr>
          <w:b/>
          <w:bCs/>
          <w:color w:val="1A1A1A"/>
          <w:sz w:val="22"/>
          <w:szCs w:val="22"/>
        </w:rPr>
        <w:t xml:space="preserve">Annulation tardive</w:t>
      </w:r>
    </w:p>
    <w:p>
      <w:pPr>
        <w:spacing w:after="60" w:before="60"/>
      </w:pPr>
      <w:r>
        <w:rPr>
          <w:color w:val="374151"/>
          <w:sz w:val="21"/>
          <w:szCs w:val="21"/>
        </w:rPr>
        <w:t xml:space="preserve">Si l'hôtel annule le rendez-vous moins de 24 heures avant l'heure prévue, et que le Prestataire en est informé dans ce délai par le Donneur d'ordre, une indemnité forfaitaire de 5 000 FCFA est versée au Prestataire, sous réserve qu'il puisse justifier s'être mis en route ou avoir bloqué sa journée.</w:t>
      </w:r>
    </w:p>
    <w:p>
      <w:pPr>
        <w:spacing w:after="60" w:before="60"/>
      </w:pPr>
      <w:r>
        <w:rPr>
          <w:color w:val="374151"/>
          <w:sz w:val="21"/>
          <w:szCs w:val="21"/>
        </w:rPr>
        <w:t xml:space="preserve">Cette indemnité n'est pas due si l'annulation est imputable au Prestataire.</w:t>
      </w:r>
    </w:p>
    <w:p>
      <w:pPr>
        <w:spacing w:after="0" w:before="100"/>
      </w:pPr>
      <w:r>
        <w:t xml:space="preserve"/>
      </w:r>
    </w:p>
    <w:p>
      <w:pPr>
        <w:spacing w:after="80" w:before="100"/>
      </w:pPr>
      <w:r>
        <w:rPr>
          <w:b/>
          <w:bCs/>
          <w:color w:val="1A1A1A"/>
          <w:sz w:val="22"/>
          <w:szCs w:val="22"/>
        </w:rPr>
        <w:t xml:space="preserve">Modalités de paiement</w:t>
      </w:r>
    </w:p>
    <w:p>
      <w:pPr>
        <w:spacing w:after="60" w:before="60"/>
      </w:pPr>
      <w:r>
        <w:rPr>
          <w:color w:val="374151"/>
          <w:sz w:val="21"/>
          <w:szCs w:val="21"/>
        </w:rPr>
        <w:t xml:space="preserve">Le paiement est effectué dans un délai de 7 jours ouvrés suivant la transmission du compte rendu de mission, sauf contestation motivée du Donneur d'ordre dans ce même délai.</w:t>
      </w:r>
    </w:p>
    <w:p>
      <w:pPr>
        <w:spacing w:after="60" w:before="60"/>
      </w:pPr>
      <w:r>
        <w:rPr>
          <w:color w:val="374151"/>
          <w:sz w:val="21"/>
          <w:szCs w:val="21"/>
        </w:rPr>
        <w:t xml:space="preserve">Le mode de paiement sera défini d'un commun accord entre les Parties parmi les options suivantes :</w:t>
      </w:r>
    </w:p>
    <w:p>
      <w:pPr>
        <w:spacing w:after="50" w:before="50"/>
        <w:ind w:left="431"/>
      </w:pPr>
      <w:r>
        <w:rPr>
          <w:b/>
          <w:bCs/>
          <w:color w:val="F5A623"/>
          <w:sz w:val="21"/>
          <w:szCs w:val="21"/>
        </w:rPr>
        <w:t xml:space="preserve">• </w:t>
      </w:r>
      <w:r>
        <w:rPr>
          <w:color w:val="374151"/>
          <w:sz w:val="21"/>
          <w:szCs w:val="21"/>
        </w:rPr>
        <w:t xml:space="preserve">Wave (Sénégal)</w:t>
      </w:r>
    </w:p>
    <w:p>
      <w:pPr>
        <w:spacing w:after="50" w:before="50"/>
        <w:ind w:left="431"/>
      </w:pPr>
      <w:r>
        <w:rPr>
          <w:b/>
          <w:bCs/>
          <w:color w:val="F5A623"/>
          <w:sz w:val="21"/>
          <w:szCs w:val="21"/>
        </w:rPr>
        <w:t xml:space="preserve">• </w:t>
      </w:r>
      <w:r>
        <w:rPr>
          <w:color w:val="374151"/>
          <w:sz w:val="21"/>
          <w:szCs w:val="21"/>
        </w:rPr>
        <w:t xml:space="preserve">Orange Money</w:t>
      </w:r>
    </w:p>
    <w:p>
      <w:pPr>
        <w:spacing w:after="50" w:before="50"/>
        <w:ind w:left="431"/>
      </w:pPr>
      <w:r>
        <w:rPr>
          <w:b/>
          <w:bCs/>
          <w:color w:val="F5A623"/>
          <w:sz w:val="21"/>
          <w:szCs w:val="21"/>
        </w:rPr>
        <w:t xml:space="preserve">• </w:t>
      </w:r>
      <w:r>
        <w:rPr>
          <w:color w:val="374151"/>
          <w:sz w:val="21"/>
          <w:szCs w:val="21"/>
        </w:rPr>
        <w:t xml:space="preserve">Western Union / Money Transfer</w:t>
      </w:r>
    </w:p>
    <w:p>
      <w:pPr>
        <w:spacing w:after="50" w:before="50"/>
        <w:ind w:left="431"/>
      </w:pPr>
      <w:r>
        <w:rPr>
          <w:b/>
          <w:bCs/>
          <w:color w:val="F5A623"/>
          <w:sz w:val="21"/>
          <w:szCs w:val="21"/>
        </w:rPr>
        <w:t xml:space="preserve">• </w:t>
      </w:r>
      <w:r>
        <w:rPr>
          <w:color w:val="374151"/>
          <w:sz w:val="21"/>
          <w:szCs w:val="21"/>
        </w:rPr>
        <w:t xml:space="preserve">Virement bancaire international (sur justificatif de RIB)</w:t>
      </w:r>
    </w:p>
    <w:p>
      <w:pPr>
        <w:spacing w:after="60" w:before="60"/>
      </w:pPr>
      <w:r>
        <w:rPr>
          <w:color w:val="374151"/>
          <w:sz w:val="21"/>
          <w:szCs w:val="21"/>
        </w:rPr>
        <w:t xml:space="preserve">Le mode de paiement retenu sera précisé dans les informations du Prestataire en tête de contrat.</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EFF6FF" w:val="clear"/>
          </w:tcPr>
          <w:p>
            <w:pPr>
              <w:spacing w:after="100" w:before="100"/>
              <w:ind w:left="140"/>
            </w:pPr>
            <w:r>
              <w:rPr>
                <w:color w:val="1D4ED8"/>
                <w:sz w:val="20"/>
                <w:szCs w:val="20"/>
              </w:rPr>
              <w:t xml:space="preserve">ℹ️  Le Prestataire est seul responsable de ses obligations fiscales, sociales et administratives selon son statut et la réglementation applicable.</w:t>
            </w:r>
          </w:p>
        </w:tc>
      </w:tr>
    </w:tbl>
    <w:p>
      <w:pPr>
        <w:spacing w:after="100" w:before="340"/>
      </w:pPr>
      <w:r>
        <w:rPr>
          <w:b/>
          <w:bCs/>
          <w:color w:val="F5A623"/>
          <w:sz w:val="24"/>
          <w:szCs w:val="24"/>
        </w:rPr>
        <w:t xml:space="preserve">Article 7 — </w:t>
      </w:r>
      <w:r>
        <w:rPr>
          <w:b/>
          <w:bCs/>
          <w:color w:val="1A1A1A"/>
          <w:sz w:val="24"/>
          <w:szCs w:val="24"/>
        </w:rPr>
        <w:t xml:space="preserve">Validation de la mission</w:t>
      </w:r>
    </w:p>
    <w:p>
      <w:pPr>
        <w:spacing w:after="60" w:before="60"/>
      </w:pPr>
      <w:r>
        <w:rPr>
          <w:color w:val="374151"/>
          <w:sz w:val="21"/>
          <w:szCs w:val="21"/>
        </w:rPr>
        <w:t xml:space="preserve">Une mission est considérée réalisée dès lors que le Prestataire a, dans la mesure du possible : récupéré les informations nécessaires, effectué la configuration prévue, accompagné les utilisateurs, réalisé ou tenté le premier usage et transmis son compte rendu.</w:t>
      </w:r>
    </w:p>
    <w:p>
      <w:pPr>
        <w:spacing w:after="60" w:before="60"/>
      </w:pPr>
      <w:r>
        <w:rPr>
          <w:color w:val="374151"/>
          <w:sz w:val="21"/>
          <w:szCs w:val="21"/>
        </w:rPr>
        <w:t xml:space="preserve">Un problème technique indépendant du Prestataire (plateforme, réseau, équipements de l'hôtel, informations erronées) ne constitue pas une mauvaise exécution si le Prestataire a correctement réalisé les tâches qui lui incombaient et a immédiatement signalé le problème.</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A1A1A" w:val="clear"/>
          </w:tcPr>
          <w:p>
            <w:pPr>
              <w:spacing w:after="120" w:before="120"/>
              <w:jc w:val="center"/>
            </w:pPr>
            <w:r>
              <w:rPr>
                <w:b/>
                <w:bCs/>
                <w:caps/>
                <w:color w:val="FFFFFF"/>
                <w:sz w:val="24"/>
                <w:szCs w:val="24"/>
              </w:rPr>
              <w:t xml:space="preserve">Obligations et responsabilités</w:t>
            </w:r>
          </w:p>
        </w:tc>
      </w:tr>
    </w:tbl>
    <w:p>
      <w:pPr>
        <w:spacing w:after="0" w:before="120"/>
      </w:pPr>
      <w:r>
        <w:t xml:space="preserve"/>
      </w:r>
    </w:p>
    <w:p>
      <w:pPr>
        <w:spacing w:after="100" w:before="340"/>
      </w:pPr>
      <w:r>
        <w:rPr>
          <w:b/>
          <w:bCs/>
          <w:color w:val="F5A623"/>
          <w:sz w:val="24"/>
          <w:szCs w:val="24"/>
        </w:rPr>
        <w:t xml:space="preserve">Article 8 — </w:t>
      </w:r>
      <w:r>
        <w:rPr>
          <w:b/>
          <w:bCs/>
          <w:color w:val="1A1A1A"/>
          <w:sz w:val="24"/>
          <w:szCs w:val="24"/>
        </w:rPr>
        <w:t xml:space="preserve">Confidentialité</w:t>
      </w:r>
    </w:p>
    <w:p>
      <w:pPr>
        <w:spacing w:after="60" w:before="60"/>
      </w:pPr>
      <w:r>
        <w:rPr>
          <w:color w:val="374151"/>
          <w:sz w:val="21"/>
          <w:szCs w:val="21"/>
        </w:rPr>
        <w:t xml:space="preserve">Le Prestataire s'engage à conserver strictement confidentielles toutes les informations auxquelles il a accès dans le cadre de ses missions, notamment : informations techniques des hôtels, données équipements, informations commerciales, tarifs, données clients et utilisateurs, procédures internes, documents GenTrack, et informations sur les prospects.</w:t>
      </w:r>
    </w:p>
    <w:p>
      <w:pPr>
        <w:spacing w:after="60" w:before="60"/>
      </w:pPr>
      <w:r>
        <w:rPr>
          <w:color w:val="374151"/>
          <w:sz w:val="21"/>
          <w:szCs w:val="21"/>
        </w:rPr>
        <w:t xml:space="preserve">Cette obligation demeure applicable sans limitation de durée après la fin du présent contrat.</w:t>
      </w:r>
    </w:p>
    <w:p>
      <w:pPr>
        <w:spacing w:after="100" w:before="340"/>
      </w:pPr>
      <w:r>
        <w:rPr>
          <w:b/>
          <w:bCs/>
          <w:color w:val="F5A623"/>
          <w:sz w:val="24"/>
          <w:szCs w:val="24"/>
        </w:rPr>
        <w:t xml:space="preserve">Article 9 — </w:t>
      </w:r>
      <w:r>
        <w:rPr>
          <w:b/>
          <w:bCs/>
          <w:color w:val="1A1A1A"/>
          <w:sz w:val="24"/>
          <w:szCs w:val="24"/>
        </w:rPr>
        <w:t xml:space="preserve">Données et accès</w:t>
      </w:r>
    </w:p>
    <w:p>
      <w:pPr>
        <w:spacing w:after="60" w:before="60"/>
      </w:pPr>
      <w:r>
        <w:rPr>
          <w:color w:val="374151"/>
          <w:sz w:val="21"/>
          <w:szCs w:val="21"/>
        </w:rPr>
        <w:t xml:space="preserve">Les accès, comptes et outils mis à disposition du Prestataire sont strictement personnels et réservés aux missions GenTrack. Le Prestataire s'engage à ne pas communiquer ses identifiants, à ne pas conserver inutilement de données clients, et à signaler immédiatement toute perte ou utilisation suspecte d'un accès.</w:t>
      </w:r>
    </w:p>
    <w:p>
      <w:pPr>
        <w:spacing w:after="60" w:before="60"/>
      </w:pPr>
      <w:r>
        <w:rPr>
          <w:color w:val="374151"/>
          <w:sz w:val="21"/>
          <w:szCs w:val="21"/>
        </w:rPr>
        <w:t xml:space="preserve">À la fin de la collaboration, les accès sont supprimés ou restitués selon les instructions du Donneur d'ordre.</w:t>
      </w:r>
    </w:p>
    <w:p>
      <w:pPr>
        <w:spacing w:after="100" w:before="340"/>
      </w:pPr>
      <w:r>
        <w:rPr>
          <w:b/>
          <w:bCs/>
          <w:color w:val="F5A623"/>
          <w:sz w:val="24"/>
          <w:szCs w:val="24"/>
        </w:rPr>
        <w:t xml:space="preserve">Article 10 — </w:t>
      </w:r>
      <w:r>
        <w:rPr>
          <w:b/>
          <w:bCs/>
          <w:color w:val="1A1A1A"/>
          <w:sz w:val="24"/>
          <w:szCs w:val="24"/>
        </w:rPr>
        <w:t xml:space="preserve">Relation avec les hôtels</w:t>
      </w:r>
    </w:p>
    <w:p>
      <w:pPr>
        <w:spacing w:after="60" w:before="60"/>
      </w:pPr>
      <w:r>
        <w:rPr>
          <w:color w:val="374151"/>
          <w:sz w:val="21"/>
          <w:szCs w:val="21"/>
        </w:rPr>
        <w:t xml:space="preserve">Le Prestataire adopte une attitude professionnelle et respectueuse envers les équipes des hôtels. Il ne doit pas dénigrer GenTrack, prendre d'engagements non autorisés, négocier directement un contrat ou récupérer un client pour son propre compte.</w:t>
      </w:r>
    </w:p>
    <w:p>
      <w:pPr>
        <w:spacing w:after="60" w:before="60"/>
      </w:pPr>
      <w:r>
        <w:rPr>
          <w:color w:val="374151"/>
          <w:sz w:val="21"/>
          <w:szCs w:val="21"/>
        </w:rPr>
        <w:t xml:space="preserve">Toute opportunité commerciale identifiée doit être communiquée au Donneur d'ordre.</w:t>
      </w:r>
    </w:p>
    <w:p>
      <w:pPr>
        <w:spacing w:after="100" w:before="340"/>
      </w:pPr>
      <w:r>
        <w:rPr>
          <w:b/>
          <w:bCs/>
          <w:color w:val="F5A623"/>
          <w:sz w:val="24"/>
          <w:szCs w:val="24"/>
        </w:rPr>
        <w:t xml:space="preserve">Article 11 — </w:t>
      </w:r>
      <w:r>
        <w:rPr>
          <w:b/>
          <w:bCs/>
          <w:color w:val="1A1A1A"/>
          <w:sz w:val="24"/>
          <w:szCs w:val="24"/>
        </w:rPr>
        <w:t xml:space="preserve">Non-sollicitation des clients</w:t>
      </w:r>
    </w:p>
    <w:p>
      <w:pPr>
        <w:spacing w:after="60" w:before="60"/>
      </w:pPr>
      <w:r>
        <w:rPr>
          <w:color w:val="374151"/>
          <w:sz w:val="21"/>
          <w:szCs w:val="21"/>
        </w:rPr>
        <w:t xml:space="preserve">Pendant la durée du contrat et pendant 12 mois suivant sa cessation, le Prestataire s'engage à ne pas utiliser les informations obtenues pour démarcher ou contracter directement avec un client ou prospect GenTrack pour une activité concurrente.</w:t>
      </w:r>
    </w:p>
    <w:p>
      <w:pPr>
        <w:spacing w:after="100" w:before="340"/>
      </w:pPr>
      <w:r>
        <w:rPr>
          <w:b/>
          <w:bCs/>
          <w:color w:val="F5A623"/>
          <w:sz w:val="24"/>
          <w:szCs w:val="24"/>
        </w:rPr>
        <w:t xml:space="preserve">Article 12 — </w:t>
      </w:r>
      <w:r>
        <w:rPr>
          <w:b/>
          <w:bCs/>
          <w:color w:val="1A1A1A"/>
          <w:sz w:val="24"/>
          <w:szCs w:val="24"/>
        </w:rPr>
        <w:t xml:space="preserve">Responsabilité</w:t>
      </w:r>
    </w:p>
    <w:p>
      <w:pPr>
        <w:spacing w:after="60" w:before="60"/>
      </w:pPr>
      <w:r>
        <w:rPr>
          <w:color w:val="374151"/>
          <w:sz w:val="21"/>
          <w:szCs w:val="21"/>
        </w:rPr>
        <w:t xml:space="preserve">Le Prestataire réalise ses missions avec sérieux, diligence et professionnalisme. Il n'est pas responsable des problèmes provenant de la plateforme GenTrack, du réseau internet, de WhatsApp, des équipements de l'hôtel ou d'informations erronées fournies par l'hôtel. Il doit cependant signaler rapidement tout problème constaté.</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A1A1A" w:val="clear"/>
          </w:tcPr>
          <w:p>
            <w:pPr>
              <w:spacing w:after="120" w:before="120"/>
              <w:jc w:val="center"/>
            </w:pPr>
            <w:r>
              <w:rPr>
                <w:b/>
                <w:bCs/>
                <w:caps/>
                <w:color w:val="FFFFFF"/>
                <w:sz w:val="24"/>
                <w:szCs w:val="24"/>
              </w:rPr>
              <w:t xml:space="preserve">Dispositions finales</w:t>
            </w:r>
          </w:p>
        </w:tc>
      </w:tr>
    </w:tbl>
    <w:p>
      <w:pPr>
        <w:spacing w:after="0" w:before="120"/>
      </w:pPr>
      <w:r>
        <w:t xml:space="preserve"/>
      </w:r>
    </w:p>
    <w:p>
      <w:pPr>
        <w:spacing w:after="100" w:before="340"/>
      </w:pPr>
      <w:r>
        <w:rPr>
          <w:b/>
          <w:bCs/>
          <w:color w:val="F5A623"/>
          <w:sz w:val="24"/>
          <w:szCs w:val="24"/>
        </w:rPr>
        <w:t xml:space="preserve">Article 13 — </w:t>
      </w:r>
      <w:r>
        <w:rPr>
          <w:b/>
          <w:bCs/>
          <w:color w:val="1A1A1A"/>
          <w:sz w:val="24"/>
          <w:szCs w:val="24"/>
        </w:rPr>
        <w:t xml:space="preserve">Durée</w:t>
      </w:r>
    </w:p>
    <w:p>
      <w:pPr>
        <w:spacing w:after="60" w:before="60"/>
      </w:pPr>
      <w:r>
        <w:rPr>
          <w:color w:val="374151"/>
          <w:sz w:val="21"/>
          <w:szCs w:val="21"/>
        </w:rPr>
        <w:t xml:space="preserve">Le présent contrat prend effet à compter de la date de signature. Il est conclu pour une durée indéterminée.</w:t>
      </w:r>
    </w:p>
    <w:p>
      <w:pPr>
        <w:spacing w:after="60" w:before="60"/>
      </w:pPr>
      <w:r>
        <w:rPr>
          <w:color w:val="374151"/>
          <w:sz w:val="21"/>
          <w:szCs w:val="21"/>
        </w:rPr>
        <w:t xml:space="preserve">Chaque Partie peut y mettre fin par notification écrite. Les missions déjà acceptées doivent être réalisées ou annulées d'un commun accord. Les obligations de confidentialité et de non-sollicitation demeurent après la fin du contrat.</w:t>
      </w:r>
    </w:p>
    <w:p>
      <w:pPr>
        <w:spacing w:after="100" w:before="340"/>
      </w:pPr>
      <w:r>
        <w:rPr>
          <w:b/>
          <w:bCs/>
          <w:color w:val="F5A623"/>
          <w:sz w:val="24"/>
          <w:szCs w:val="24"/>
        </w:rPr>
        <w:t xml:space="preserve">Article 14 — </w:t>
      </w:r>
      <w:r>
        <w:rPr>
          <w:b/>
          <w:bCs/>
          <w:color w:val="1A1A1A"/>
          <w:sz w:val="24"/>
          <w:szCs w:val="24"/>
        </w:rPr>
        <w:t xml:space="preserve">Absence d'exclusivité</w:t>
      </w:r>
    </w:p>
    <w:p>
      <w:pPr>
        <w:spacing w:after="60" w:before="60"/>
      </w:pPr>
      <w:r>
        <w:rPr>
          <w:color w:val="374151"/>
          <w:sz w:val="21"/>
          <w:szCs w:val="21"/>
        </w:rPr>
        <w:t xml:space="preserve">Le Prestataire reste libre de travailler pour d'autres clients, sous réserve de ne pas utiliser les informations confidentielles de GenTrack, de ne pas détourner ses clients ou prospects et de ne pas créer de conflit d'intérêts.</w:t>
      </w:r>
    </w:p>
    <w:p>
      <w:pPr>
        <w:spacing w:after="100" w:before="340"/>
      </w:pPr>
      <w:r>
        <w:rPr>
          <w:b/>
          <w:bCs/>
          <w:color w:val="F5A623"/>
          <w:sz w:val="24"/>
          <w:szCs w:val="24"/>
        </w:rPr>
        <w:t xml:space="preserve">Article 15 — </w:t>
      </w:r>
      <w:r>
        <w:rPr>
          <w:b/>
          <w:bCs/>
          <w:color w:val="1A1A1A"/>
          <w:sz w:val="24"/>
          <w:szCs w:val="24"/>
        </w:rPr>
        <w:t xml:space="preserve">Droit applicable et règlement des différends</w:t>
      </w:r>
    </w:p>
    <w:p>
      <w:pPr>
        <w:spacing w:after="60" w:before="60"/>
      </w:pPr>
      <w:r>
        <w:rPr>
          <w:color w:val="374151"/>
          <w:sz w:val="21"/>
          <w:szCs w:val="21"/>
        </w:rPr>
        <w:t xml:space="preserve">Les Parties s'efforceront de résoudre à l'amiable tout différend. Compte tenu du caractère international de la relation (Donneur d'ordre établi en France, Prestataire exerçant au Sénégal), les Parties conviennent de faire valider par un professionnel du droit les dispositions relatives au droit applicable et à la juridiction compétente avant signature définitive.</w:t>
      </w:r>
    </w:p>
    <w:p>
      <w:pPr>
        <w:spacing w:after="100" w:before="340"/>
      </w:pPr>
      <w:r>
        <w:rPr>
          <w:b/>
          <w:bCs/>
          <w:color w:val="F5A623"/>
          <w:sz w:val="24"/>
          <w:szCs w:val="24"/>
        </w:rPr>
        <w:t xml:space="preserve">Article 16 — </w:t>
      </w:r>
      <w:r>
        <w:rPr>
          <w:b/>
          <w:bCs/>
          <w:color w:val="1A1A1A"/>
          <w:sz w:val="24"/>
          <w:szCs w:val="24"/>
        </w:rPr>
        <w:t xml:space="preserve">Modification du contrat</w:t>
      </w:r>
    </w:p>
    <w:p>
      <w:pPr>
        <w:spacing w:after="60" w:before="60"/>
      </w:pPr>
      <w:r>
        <w:rPr>
          <w:color w:val="374151"/>
          <w:sz w:val="21"/>
          <w:szCs w:val="21"/>
        </w:rPr>
        <w:t xml:space="preserve">Toute modification substantielle doit faire l'objet d'un accord écrit entre les Parties. Les modalités particulières d'une mission pourront être définies par e-mail ou message WhatsApp sans modifier les dispositions essentielles du présent contrat.</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A1A1A" w:val="clear"/>
          </w:tcPr>
          <w:p>
            <w:pPr>
              <w:spacing w:after="120" w:before="120"/>
              <w:jc w:val="center"/>
            </w:pPr>
            <w:r>
              <w:rPr>
                <w:b/>
                <w:bCs/>
                <w:caps/>
                <w:color w:val="FFFFFF"/>
                <w:sz w:val="24"/>
                <w:szCs w:val="24"/>
              </w:rPr>
              <w:t xml:space="preserve">Signatures</w:t>
            </w:r>
          </w:p>
        </w:tc>
      </w:tr>
    </w:tbl>
    <w:p>
      <w:pPr>
        <w:spacing w:after="0" w:before="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c>
          <w:tcPr>
            <w:tcW w:type="dxa" w:w="4500"/>
            <w:shd w:fill="F9FAFB" w:val="clear"/>
          </w:tcPr>
          <w:p>
            <w:pPr>
              <w:spacing w:after="60" w:before="120"/>
              <w:ind w:left="120"/>
            </w:pPr>
            <w:r>
              <w:rPr>
                <w:b/>
                <w:bCs/>
                <w:color w:val="F5A623"/>
                <w:sz w:val="22"/>
                <w:szCs w:val="22"/>
              </w:rPr>
              <w:t xml:space="preserve">Le Donneur d'ordre</w:t>
            </w:r>
          </w:p>
          <w:p>
            <w:pPr>
              <w:spacing w:after="40" w:before="60"/>
              <w:ind w:left="120"/>
            </w:pPr>
            <w:r>
              <w:rPr>
                <w:color w:val="374151"/>
                <w:sz w:val="20"/>
                <w:szCs w:val="20"/>
              </w:rPr>
              <w:t xml:space="preserve">The Wire.w — Conseil &amp; Gestion</w:t>
            </w:r>
          </w:p>
          <w:p>
            <w:pPr>
              <w:spacing w:after="40" w:before="40"/>
              <w:ind w:left="120"/>
            </w:pPr>
            <w:r>
              <w:rPr>
                <w:color w:val="374151"/>
                <w:sz w:val="20"/>
                <w:szCs w:val="20"/>
              </w:rPr>
              <w:t xml:space="preserve">Représenté par : Wilfried [●]</w:t>
            </w:r>
          </w:p>
          <w:p>
            <w:pPr>
              <w:spacing w:after="40" w:before="40"/>
              <w:ind w:left="120"/>
            </w:pPr>
            <w:r>
              <w:rPr>
                <w:color w:val="374151"/>
                <w:sz w:val="20"/>
                <w:szCs w:val="20"/>
              </w:rPr>
              <w:t xml:space="preserve">Fait à Paris, le : _______________</w:t>
            </w:r>
          </w:p>
          <w:p>
            <w:pPr>
              <w:spacing w:after="40" w:before="120"/>
              <w:ind w:left="120"/>
            </w:pPr>
            <w:r>
              <w:rPr>
                <w:i/>
                <w:iCs/>
                <w:color w:val="6B7280"/>
                <w:sz w:val="20"/>
                <w:szCs w:val="20"/>
              </w:rPr>
              <w:t xml:space="preserve">« Lu et approuvé »</w:t>
            </w:r>
          </w:p>
          <w:p>
            <w:pPr>
              <w:spacing w:after="120" w:before="160"/>
              <w:ind w:left="120"/>
            </w:pPr>
            <w:r>
              <w:rPr>
                <w:color w:val="374151"/>
                <w:sz w:val="20"/>
                <w:szCs w:val="20"/>
              </w:rPr>
              <w:t xml:space="preserve">Signature :</w:t>
            </w:r>
          </w:p>
        </w:tc>
        <w:tc>
          <w:tcPr>
            <w:tcW w:type="dxa" w:w="4700"/>
            <w:shd w:fill="FFFFFF" w:val="clear"/>
          </w:tcPr>
          <w:p>
            <w:pPr>
              <w:spacing w:after="60" w:before="120"/>
              <w:ind w:left="120"/>
            </w:pPr>
            <w:r>
              <w:rPr>
                <w:b/>
                <w:bCs/>
                <w:color w:val="F5A623"/>
                <w:sz w:val="22"/>
                <w:szCs w:val="22"/>
              </w:rPr>
              <w:t xml:space="preserve">Le Prestataire</w:t>
            </w:r>
          </w:p>
          <w:p>
            <w:pPr>
              <w:spacing w:after="40" w:before="60"/>
              <w:ind w:left="120"/>
            </w:pPr>
            <w:r>
              <w:rPr>
                <w:color w:val="374151"/>
                <w:sz w:val="20"/>
                <w:szCs w:val="20"/>
              </w:rPr>
              <w:t xml:space="preserve">Nom : [●]</w:t>
            </w:r>
          </w:p>
          <w:p>
            <w:pPr>
              <w:spacing w:after="40" w:before="40"/>
              <w:ind w:left="120"/>
            </w:pPr>
            <w:r>
              <w:rPr>
                <w:color w:val="374151"/>
                <w:sz w:val="20"/>
                <w:szCs w:val="20"/>
              </w:rPr>
              <w:t xml:space="preserve">Fait à [Ville], le : _______________</w:t>
            </w:r>
          </w:p>
          <w:p>
            <w:pPr>
              <w:spacing w:after="40" w:before="80"/>
              <w:ind w:left="120"/>
            </w:pPr>
            <w:r>
              <w:rPr>
                <w:color w:val="374151"/>
                <w:sz w:val="20"/>
                <w:szCs w:val="20"/>
              </w:rPr>
              <w:t xml:space="preserve">N° Wave / Orange Money : [●]</w:t>
            </w:r>
          </w:p>
          <w:p>
            <w:pPr>
              <w:spacing w:after="40" w:before="40"/>
              <w:ind w:left="120"/>
            </w:pPr>
            <w:r>
              <w:rPr>
                <w:color w:val="374151"/>
                <w:sz w:val="20"/>
                <w:szCs w:val="20"/>
              </w:rPr>
              <w:t xml:space="preserve">Western Union / Autre : [●]</w:t>
            </w:r>
          </w:p>
          <w:p>
            <w:pPr>
              <w:spacing w:after="40" w:before="120"/>
              <w:ind w:left="120"/>
            </w:pPr>
            <w:r>
              <w:rPr>
                <w:i/>
                <w:iCs/>
                <w:color w:val="6B7280"/>
                <w:sz w:val="20"/>
                <w:szCs w:val="20"/>
              </w:rPr>
              <w:t xml:space="preserve">« Lu et approuvé »</w:t>
            </w:r>
          </w:p>
          <w:p>
            <w:pPr>
              <w:spacing w:after="120" w:before="160"/>
              <w:ind w:left="120"/>
            </w:pPr>
            <w:r>
              <w:rPr>
                <w:color w:val="374151"/>
                <w:sz w:val="20"/>
                <w:szCs w:val="20"/>
              </w:rPr>
              <w:t xml:space="preserve">Signature :</w:t>
            </w:r>
          </w:p>
        </w:tc>
      </w:tr>
    </w:tbl>
    <w:p>
      <w:pPr>
        <w:spacing w:after="0" w:before="200"/>
      </w:pPr>
      <w:r>
        <w:t xml:space="preserve"/>
      </w:r>
    </w:p>
    <w:p>
      <w:pPr>
        <w:jc w:val="center"/>
      </w:pPr>
      <w:r>
        <w:rPr>
          <w:i/>
          <w:iCs/>
          <w:color w:val="9CA3AF"/>
          <w:sz w:val="18"/>
          <w:szCs w:val="18"/>
        </w:rPr>
        <w:t xml:space="preserve">Contrat établi en deux exemplaires originaux — un pour chaque Partie</w:t>
      </w:r>
    </w:p>
    <w:p>
      <w:pPr>
        <w:spacing w:after="0" w:before="40"/>
      </w:pPr>
      <w:r>
        <w:t xml:space="preserve"/>
      </w:r>
    </w:p>
    <w:p>
      <w:pPr>
        <w:jc w:val="center"/>
      </w:pPr>
      <w:r>
        <w:rPr>
          <w:i/>
          <w:iCs/>
          <w:color w:val="9CA3AF"/>
          <w:sz w:val="18"/>
          <w:szCs w:val="18"/>
        </w:rPr>
        <w:t xml:space="preserve">GenTrack · The Wire.w — SIRET 85312083000023 · Paris, France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2026-08-18T10:24:40.487Z</dcterms:created>
  <dcterms:modified xsi:type="dcterms:W3CDTF">2026-08-18T10:24:40.487Z</dcterms:modified>
</cp:coreProperties>
</file>

<file path=docProps/custom.xml><?xml version="1.0" encoding="utf-8"?>
<Properties xmlns="http://schemas.openxmlformats.org/officeDocument/2006/custom-properties" xmlns:vt="http://schemas.openxmlformats.org/officeDocument/2006/docPropsVTypes"/>
</file>