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</w:t>
      </w:r>
      <w:r>
        <w:t xml:space="preserve"> </w:t>
      </w:r>
      <w:r>
        <w:t xml:space="preserve">de</w:t>
      </w:r>
      <w:r>
        <w:t xml:space="preserve"> </w:t>
      </w:r>
      <w:r>
        <w:t xml:space="preserve">auditoria</w:t>
      </w:r>
      <w:r>
        <w:t xml:space="preserve"> </w:t>
      </w:r>
      <w:r>
        <w:t xml:space="preserve">–</w:t>
      </w:r>
      <w:r>
        <w:t xml:space="preserve"> </w:t>
      </w:r>
      <w:r>
        <w:t xml:space="preserve">Manuscrito</w:t>
      </w:r>
      <w:r>
        <w:t xml:space="preserve"> </w:t>
      </w:r>
      <w:r>
        <w:t xml:space="preserve">LeafInjuryR</w:t>
      </w:r>
      <w:r>
        <w:t xml:space="preserve"> </w:t>
      </w:r>
      <w:r>
        <w:t xml:space="preserve">(versão</w:t>
      </w:r>
      <w:r>
        <w:t xml:space="preserve"> </w:t>
      </w:r>
      <w:r>
        <w:t xml:space="preserve">6)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alterações-desta-versão"/>
    <w:p>
      <w:pPr>
        <w:pStyle w:val="Heading1"/>
      </w:pPr>
      <w:r>
        <w:t xml:space="preserve">1. Alterações desta versão</w:t>
      </w:r>
    </w:p>
    <w:p>
      <w:pPr>
        <w:pStyle w:val="FirstParagraph"/>
      </w:pPr>
      <w:r>
        <w:rPr>
          <w:bCs/>
          <w:b/>
        </w:rPr>
        <w:t xml:space="preserve">Versão 6:</w:t>
      </w:r>
    </w:p>
    <w:p>
      <w:pPr>
        <w:numPr>
          <w:ilvl w:val="0"/>
          <w:numId w:val="1001"/>
        </w:numPr>
        <w:pStyle w:val="Compact"/>
      </w:pPr>
      <w:r>
        <w:t xml:space="preserve">Análises e figuras refeitas com o Rmd revisado pelo autor (Figura 4b só com mediana e intervalo interquartil; Figura 6 só com banda de confiança, eixo Y de 0 a 50 e formato largo).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Severidade visual</w:t>
      </w:r>
      <w:r>
        <w:t xml:space="preserve">”</w:t>
      </w:r>
      <w:r>
        <w:t xml:space="preserve"> </w:t>
      </w:r>
      <w:r>
        <w:t xml:space="preserve">passou a se chamar</w:t>
      </w:r>
      <w:r>
        <w:t xml:space="preserve"> </w:t>
      </w:r>
      <w:r>
        <w:rPr>
          <w:bCs/>
          <w:b/>
        </w:rPr>
        <w:t xml:space="preserve">severidade observada (%)</w:t>
      </w:r>
      <w:r>
        <w:t xml:space="preserve">, definida como a mediana dos quatro avaliadores, no texto, nas tabelas e nos eixos e títulos das figuras (PT e EN).</w:t>
      </w:r>
    </w:p>
    <w:p>
      <w:pPr>
        <w:numPr>
          <w:ilvl w:val="0"/>
          <w:numId w:val="1001"/>
        </w:numPr>
        <w:pStyle w:val="Compact"/>
      </w:pPr>
      <w:r>
        <w:t xml:space="preserve">A escala diagramática de Peixoto (2023) está descrita na metodologia: 12 níveis, construção a partir do Assess e validação com oito avaliadores (R² de 0,77 a 0,91).</w:t>
      </w:r>
    </w:p>
    <w:p>
      <w:pPr>
        <w:numPr>
          <w:ilvl w:val="0"/>
          <w:numId w:val="1001"/>
        </w:numPr>
        <w:pStyle w:val="Compact"/>
      </w:pPr>
      <w:r>
        <w:t xml:space="preserve">Figura 7 com títulos em uma linha (</w:t>
      </w:r>
      <w:r>
        <w:t xml:space="preserve">“</w:t>
      </w:r>
      <w:r>
        <w:t xml:space="preserve">LeafInjuryR x% · Observada y%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Versão PT com 16 páginas e versão EN com 15.</w:t>
      </w:r>
    </w:p>
    <w:p>
      <w:pPr>
        <w:pStyle w:val="FirstParagraph"/>
      </w:pPr>
      <w:r>
        <w:rPr>
          <w:bCs/>
          <w:b/>
        </w:rPr>
        <w:t xml:space="preserve">Versão 4:</w:t>
      </w:r>
    </w:p>
    <w:p>
      <w:pPr>
        <w:numPr>
          <w:ilvl w:val="0"/>
          <w:numId w:val="1002"/>
        </w:numPr>
        <w:pStyle w:val="Compact"/>
      </w:pPr>
      <w:r>
        <w:t xml:space="preserve">Figuras 2 e 7 usam as cores padrão do LeafInjuryR (verde: saudável; amarelo: clorótico; vermelho: necrótico; magenta: outro), iguais às do aplicativo. Os demais gráficos mantêm a paleta fria.</w:t>
      </w:r>
    </w:p>
    <w:p>
      <w:pPr>
        <w:numPr>
          <w:ilvl w:val="0"/>
          <w:numId w:val="1002"/>
        </w:numPr>
        <w:pStyle w:val="Compact"/>
      </w:pPr>
      <w:r>
        <w:t xml:space="preserve">A Figura 6a mostra apenas o modelo de potência (melhor por AICc e por validação cruzada), com a equação, o R², a banda de confiança e a banda de predição.</w:t>
      </w:r>
    </w:p>
    <w:p>
      <w:pPr>
        <w:numPr>
          <w:ilvl w:val="0"/>
          <w:numId w:val="1002"/>
        </w:numPr>
        <w:pStyle w:val="Compact"/>
      </w:pPr>
      <w:r>
        <w:t xml:space="preserve">A Tabela 4 (comparação qualitativa com ImageJ/Fiji, PlantCV, pliman e Assess/Leaf Doctor) foi reintroduzida.</w:t>
      </w:r>
    </w:p>
    <w:p>
      <w:pPr>
        <w:numPr>
          <w:ilvl w:val="0"/>
          <w:numId w:val="1002"/>
        </w:numPr>
        <w:pStyle w:val="Compact"/>
      </w:pPr>
      <w:r>
        <w:t xml:space="preserve">Versão PT com 15 páginas e versão EN com 14.</w:t>
      </w:r>
    </w:p>
    <w:p>
      <w:pPr>
        <w:pStyle w:val="FirstParagraph"/>
      </w:pPr>
      <w:r>
        <w:rPr>
          <w:bCs/>
          <w:b/>
        </w:rPr>
        <w:t xml:space="preserve">Versão 3: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Tratamentos removidos</w:t>
      </w:r>
      <w:r>
        <w:t xml:space="preserve"> </w:t>
      </w:r>
      <w:r>
        <w:t xml:space="preserve">de todas as análises, figuras e do texto; a coluna da planilha serve apenas para localizar os arquivos.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Novo foco:</w:t>
      </w:r>
      <w:r>
        <w:t xml:space="preserve"> </w:t>
      </w:r>
      <w:r>
        <w:t xml:space="preserve">quanto o LeafInjuryR prediz a avaliação visual (resposta = mediana visual; preditor = LeafInjuryR). Cinco modelos (linear, quadrático, potência, logarítmico e assintótico) comparados por AICc e validação cruzada</w:t>
      </w:r>
      <w:r>
        <w:t xml:space="preserve"> </w:t>
      </w:r>
      <w:r>
        <w:rPr>
          <w:iCs/>
          <w:i/>
        </w:rPr>
        <w:t xml:space="preserve">leave-one-out</w:t>
      </w:r>
      <w:r>
        <w:t xml:space="preserve">, com bandas de confiança e de predição de 95% (analíticas nos lineares; bootstrap de casos, 2.000 reamostragens, nos não lineares).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Nova Figura 5:</w:t>
      </w:r>
      <w:r>
        <w:t xml:space="preserve"> </w:t>
      </w:r>
      <w:r>
        <w:t xml:space="preserve">variabilidade entre avaliadores e impacto nas decisões.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Contexto biológico:</w:t>
      </w:r>
      <w:r>
        <w:t xml:space="preserve"> </w:t>
      </w:r>
      <w:r>
        <w:t xml:space="preserve">soja inoculada com</w:t>
      </w:r>
      <w:r>
        <w:t xml:space="preserve"> </w:t>
      </w:r>
      <w:r>
        <w:rPr>
          <w:iCs/>
          <w:i/>
        </w:rPr>
        <w:t xml:space="preserve">Corynespora cassiicola</w:t>
      </w:r>
      <w:r>
        <w:t xml:space="preserve"> </w:t>
      </w:r>
      <w:r>
        <w:t xml:space="preserve">(mancha-alvo).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Paleta fria</w:t>
      </w:r>
      <w:r>
        <w:t xml:space="preserve"> </w:t>
      </w:r>
      <w:r>
        <w:t xml:space="preserve">em todos os gráficos e nas sobreposições das folhas (tecido saudável: verde-azulado; clorótico: azul-claro; necrótico: azul-marinho; outro: lilás).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Todas as figuras em PT e EN</w:t>
      </w:r>
      <w:r>
        <w:t xml:space="preserve">, geradas pelo Rmd</w:t>
      </w:r>
      <w:r>
        <w:t xml:space="preserve"> </w:t>
      </w:r>
      <w:r>
        <w:rPr>
          <w:rStyle w:val="VerbatimChar"/>
        </w:rPr>
        <w:t xml:space="preserve">analise_LeafInjuryR_artigo.Rmd</w:t>
      </w:r>
      <w:r>
        <w:t xml:space="preserve">. A Figura 3 é captura de tela da interface (em português nas duas versões).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Figura 7:</w:t>
      </w:r>
      <w:r>
        <w:t xml:space="preserve"> </w:t>
      </w:r>
      <w:r>
        <w:t xml:space="preserve">sem tratamentos, apenas</w:t>
      </w:r>
      <w:r>
        <w:t xml:space="preserve"> </w:t>
      </w:r>
      <w:r>
        <w:t xml:space="preserve">“</w:t>
      </w:r>
      <w:r>
        <w:t xml:space="preserve">Imagem 1–4</w:t>
      </w:r>
      <w:r>
        <w:t xml:space="preserve">”</w:t>
      </w:r>
      <w:r>
        <w:t xml:space="preserve">, escolhidas por quantis de severidade (10%, 45%, 75% e 97%).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Extensão:</w:t>
      </w:r>
      <w:r>
        <w:t xml:space="preserve"> </w:t>
      </w:r>
      <w:r>
        <w:t xml:space="preserve">versão PT com 15 páginas e versão EN com 14, ambas dentro do limite de 20; 40 referências (somente as citadas).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Densidade de kernel:</w:t>
      </w:r>
      <w:r>
        <w:t xml:space="preserve"> </w:t>
      </w:r>
      <w:r>
        <w:t xml:space="preserve">não usada. Com n = 48, curvas de densidade seriam pouco informativas; os eixos foram ajustados ao intervalo dos dados.</w:t>
      </w:r>
    </w:p>
    <w:bookmarkEnd w:id="20"/>
    <w:bookmarkStart w:id="21" w:name="principais-resultados"/>
    <w:p>
      <w:pPr>
        <w:pStyle w:val="Heading1"/>
      </w:pPr>
      <w:r>
        <w:t xml:space="preserve">2. Principais resultados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Amplitude entre avaliadores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 4,5 p.p.; ≥ 10 p.p. em 16,7% dos folíolos; máximo 58,3 p.p.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mediano entre avaliadores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ICC(A,1) / ICC(A,4)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 (0,53–0,90) / 0,91 (0,82–0,97)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Folíolos com decisão divergente (limiares 5, 10, 15, 20, 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12,5; 12,5; 20,8; 25,0; 16,7%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potência: y = 2,264·x^0,637 (menor AICc e menor RMSE em validação cruzada)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LeafInjuryR bruto × mediana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CCC 0,703 (0,600–0,784); r 0,903; EAM 6,50 p.p.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LeafInjuryR calibrado (validação cruzada)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CCC 0,892 (0,818–0,938); EAM 2,77 p.p.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Avaliadores × mediana dos demais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CCC 0,632; 0,897; 0,927; 0,904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Mensagem central:</w:t>
      </w:r>
      <w:r>
        <w:t xml:space="preserve"> </w:t>
      </w:r>
      <w:r>
        <w:t xml:space="preserve">depois de calibrado, o LeafInjuryR prediz o consenso visual com concordância equivalente à de avaliadores experientes, e de forma reprodutível. Sem calibração, superestima acima de 10%, provavelmente porque contabiliza o halo clorótico. Essa explicação é uma hipótese exploratória.</w:t>
      </w:r>
    </w:p>
    <w:bookmarkEnd w:id="21"/>
    <w:bookmarkStart w:id="22" w:name="cautelas"/>
    <w:p>
      <w:pPr>
        <w:pStyle w:val="Heading1"/>
      </w:pPr>
      <w:r>
        <w:t xml:space="preserve">3. Cautelas</w:t>
      </w:r>
    </w:p>
    <w:p>
      <w:pPr>
        <w:numPr>
          <w:ilvl w:val="0"/>
          <w:numId w:val="1004"/>
        </w:numPr>
        <w:pStyle w:val="Compact"/>
      </w:pPr>
      <w:r>
        <w:t xml:space="preserve">A calibração foi estimada e avaliada no mesmo conjunto. A validação cruzada</w:t>
      </w:r>
      <w:r>
        <w:t xml:space="preserve"> </w:t>
      </w:r>
      <w:r>
        <w:rPr>
          <w:iCs/>
          <w:i/>
        </w:rPr>
        <w:t xml:space="preserve">leave-one-out</w:t>
      </w:r>
      <w:r>
        <w:t xml:space="preserve"> </w:t>
      </w:r>
      <w:r>
        <w:t xml:space="preserve">reduz, mas não elimina, o otimismo; recomenda-se um conjunto independente de imagens.</w:t>
      </w:r>
    </w:p>
    <w:p>
      <w:pPr>
        <w:numPr>
          <w:ilvl w:val="0"/>
          <w:numId w:val="1004"/>
        </w:numPr>
        <w:pStyle w:val="Compact"/>
      </w:pPr>
      <w:r>
        <w:t xml:space="preserve">A referência visual não é a verdade; não houve máscaras pixel a pixel.</w:t>
      </w:r>
    </w:p>
    <w:p>
      <w:pPr>
        <w:numPr>
          <w:ilvl w:val="0"/>
          <w:numId w:val="1004"/>
        </w:numPr>
        <w:pStyle w:val="Compact"/>
      </w:pPr>
      <w:r>
        <w:t xml:space="preserve">Um dos avaliadores (A1) é autor do pacote; declare isso na seção de conflito de interesses da revista.</w:t>
      </w:r>
    </w:p>
    <w:p>
      <w:pPr>
        <w:numPr>
          <w:ilvl w:val="0"/>
          <w:numId w:val="1004"/>
        </w:numPr>
        <w:pStyle w:val="Compact"/>
      </w:pPr>
      <w:r>
        <w:t xml:space="preserve">O texto afirma que a escala de Peixoto (2023) representa lesões em preto (verificado no PDF fornecido).</w:t>
      </w:r>
    </w:p>
    <w:p>
      <w:pPr>
        <w:numPr>
          <w:ilvl w:val="0"/>
          <w:numId w:val="1004"/>
        </w:numPr>
        <w:pStyle w:val="Compact"/>
      </w:pPr>
      <w:r>
        <w:t xml:space="preserve">Não foram adicionadas referências específicas sobre a mancha-alvo, porque não foi possível verificar dados bibliográficos nesta sessão. Recomenda-se incluir 2–3 referências sobre</w:t>
      </w:r>
      <w:r>
        <w:t xml:space="preserve"> </w:t>
      </w:r>
      <w:r>
        <w:rPr>
          <w:iCs/>
          <w:i/>
        </w:rPr>
        <w:t xml:space="preserve">C. cassiicola</w:t>
      </w:r>
      <w:r>
        <w:t xml:space="preserve"> </w:t>
      </w:r>
      <w:r>
        <w:t xml:space="preserve">em soja.</w:t>
      </w:r>
    </w:p>
    <w:bookmarkEnd w:id="22"/>
    <w:bookmarkStart w:id="23" w:name="campos-a-completar-no-manuscrito"/>
    <w:p>
      <w:pPr>
        <w:pStyle w:val="Heading1"/>
      </w:pPr>
      <w:r>
        <w:t xml:space="preserve">4. Campos a completar no manuscrito</w:t>
      </w:r>
    </w:p>
    <w:p>
      <w:pPr>
        <w:numPr>
          <w:ilvl w:val="0"/>
          <w:numId w:val="1005"/>
        </w:numPr>
        <w:pStyle w:val="Compact"/>
      </w:pPr>
      <w:r>
        <w:t xml:space="preserve">Cultivar, local, safra, estádio fenológico, método de inoculação e câmera (marcados entre colchetes na seção 2.2).</w:t>
      </w:r>
    </w:p>
    <w:p>
      <w:pPr>
        <w:numPr>
          <w:ilvl w:val="0"/>
          <w:numId w:val="1005"/>
        </w:numPr>
        <w:pStyle w:val="Compact"/>
      </w:pPr>
      <w:r>
        <w:t xml:space="preserve">Afiliação, ORCID e coautores.</w:t>
      </w:r>
    </w:p>
    <w:p>
      <w:pPr>
        <w:numPr>
          <w:ilvl w:val="0"/>
          <w:numId w:val="1005"/>
        </w:numPr>
        <w:pStyle w:val="Compact"/>
      </w:pPr>
      <w:r>
        <w:t xml:space="preserve">Confirmação de que as avaliações visuais foram feitas às cegas e em ordem aleatória.</w:t>
      </w:r>
    </w:p>
    <w:p>
      <w:pPr>
        <w:numPr>
          <w:ilvl w:val="0"/>
          <w:numId w:val="1005"/>
        </w:numPr>
        <w:pStyle w:val="Compact"/>
      </w:pPr>
      <w:r>
        <w:t xml:space="preserve">Conferência dos DOIs das 40 referências (sem acesso a bases nesta sessão).</w:t>
      </w:r>
    </w:p>
    <w:p>
      <w:pPr>
        <w:numPr>
          <w:ilvl w:val="0"/>
          <w:numId w:val="1005"/>
        </w:numPr>
        <w:pStyle w:val="Compact"/>
      </w:pPr>
      <w:r>
        <w:t xml:space="preserve">DOI do Zenodo.</w:t>
      </w:r>
    </w:p>
    <w:bookmarkEnd w:id="23"/>
    <w:bookmarkStart w:id="24" w:name="revista-alvo"/>
    <w:p>
      <w:pPr>
        <w:pStyle w:val="Heading1"/>
      </w:pPr>
      <w:r>
        <w:t xml:space="preserve">5. Revista-alvo</w:t>
      </w:r>
    </w:p>
    <w:p>
      <w:pPr>
        <w:pStyle w:val="FirstParagraph"/>
      </w:pPr>
      <w:r>
        <w:rPr>
          <w:iCs/>
          <w:i/>
        </w:rPr>
        <w:t xml:space="preserve">Tropical Plant Pathology</w:t>
      </w:r>
      <w:r>
        <w:t xml:space="preserve"> </w:t>
      </w:r>
      <w:r>
        <w:t xml:space="preserve">continua sendo a opção mais alinhada, pelo foco em fitopatometria. Com um conjunto de validação independente ou máscaras pixel a pixel,</w:t>
      </w:r>
      <w:r>
        <w:t xml:space="preserve"> </w:t>
      </w:r>
      <w:r>
        <w:rPr>
          <w:iCs/>
          <w:i/>
        </w:rPr>
        <w:t xml:space="preserve">Plant Methods</w:t>
      </w:r>
      <w:r>
        <w:t xml:space="preserve"> </w:t>
      </w:r>
      <w:r>
        <w:t xml:space="preserve">torna-se viável.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auditoria – Manuscrito LeafInjuryR (versão 6)</dc:title>
  <dc:creator/>
  <cp:keywords/>
  <dcterms:created xsi:type="dcterms:W3CDTF">2026-10-05T12:06:35Z</dcterms:created>
  <dcterms:modified xsi:type="dcterms:W3CDTF">2026-10-05T12:06:35Z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</Properties>
</file>