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2da3811f05494e056d19a3aa3e79062f38da32"/>
    <w:p>
      <w:pPr>
        <w:pStyle w:val="Heading1"/>
      </w:pPr>
      <w:r>
        <w:t xml:space="preserve">Processo de construção da base · DATALUTA Argentina 2024</w:t>
      </w:r>
    </w:p>
    <w:p>
      <w:pPr>
        <w:pStyle w:val="FirstParagraph"/>
      </w:pPr>
      <w:r>
        <w:rPr>
          <w:bCs/>
          <w:b/>
        </w:rPr>
        <w:t xml:space="preserve">Banco de Dados das Lutas por Espaços e Territórios (DATALUTA) - Movimentos Socioespaciais e Socioterritoriais Urbanos Argentinos (2024)</w:t>
      </w:r>
    </w:p>
    <w:p>
      <w:pPr>
        <w:pStyle w:val="BodyText"/>
      </w:pPr>
      <w:r>
        <w:t xml:space="preserve">Este documento registra, de forma cumulativa, tudo o que foi feito para transformar a planilha de codificação das notícias na base interativa publicada. Serve de memória metodológica, de roteiro para refazer a base do zero e de registro das decisões tomadas a cada etapa.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Item</w:t>
            </w:r>
          </w:p>
        </w:tc>
        <w:tc>
          <w:tcPr>
            <w:shd w:val="clear" w:color="auto" w:fill="EAF3FB"/>
          </w:tcPr>
          <w:p>
            <w:pPr>
              <w:pStyle w:val="Compact"/>
              <w:spacing w:after="20"/>
              <w:jc w:val="left"/>
            </w:pPr>
            <w:r>
              <w:rPr>
                <w:b/>
                <w:sz w:val="18"/>
              </w:rPr>
              <w:t xml:space="preserve">Informação</w:t>
            </w:r>
          </w:p>
        </w:tc>
      </w:tr>
      <w:tr>
        <w:tc>
          <w:tcPr/>
          <w:p>
            <w:pPr>
              <w:pStyle w:val="Compact"/>
              <w:spacing w:after="20"/>
              <w:jc w:val="left"/>
            </w:pPr>
            <w:r>
              <w:rPr>
                <w:sz w:val="18"/>
              </w:rPr>
              <w:t xml:space="preserve">Responsável</w:t>
            </w:r>
          </w:p>
        </w:tc>
        <w:tc>
          <w:tcPr/>
          <w:p>
            <w:pPr>
              <w:pStyle w:val="Compact"/>
              <w:spacing w:after="20"/>
              <w:jc w:val="left"/>
            </w:pPr>
            <w:r>
              <w:rPr>
                <w:sz w:val="18"/>
              </w:rPr>
              <w:t xml:space="preserve">Wilians Ventura Ferreira Souza (Unesp)</w:t>
            </w:r>
          </w:p>
        </w:tc>
      </w:tr>
      <w:tr>
        <w:tc>
          <w:tcPr/>
          <w:p>
            <w:pPr>
              <w:pStyle w:val="Compact"/>
              <w:spacing w:after="20"/>
              <w:jc w:val="left"/>
            </w:pPr>
            <w:r>
              <w:rPr>
                <w:sz w:val="18"/>
              </w:rPr>
              <w:t xml:space="preserve">Site</w:t>
            </w:r>
          </w:p>
        </w:tc>
        <w:tc>
          <w:tcPr/>
          <w:p>
            <w:pPr>
              <w:pStyle w:val="Compact"/>
              <w:spacing w:after="20"/>
              <w:jc w:val="left"/>
            </w:pPr>
            <w:hyperlink r:id="rId20">
              <w:r>
                <w:rPr>
                  <w:rStyle w:val="Hyperlink"/>
                </w:rPr>
                <w:t xml:space="preserve">https://wiliansventura98-collab.github.io/site-acoes/</w:t>
              </w:r>
            </w:hyperlink>
            <w:r>
              <w:rPr>
                <w:sz w:val="18"/>
              </w:rPr>
              <w:t xml:space="preserve"> </w:t>
            </w:r>
            <w:r>
              <w:rPr>
                <w:sz w:val="18"/>
              </w:rPr>
              <w:t xml:space="preserve">(base interativa em</w:t>
            </w:r>
            <w:r>
              <w:rPr>
                <w:sz w:val="18"/>
              </w:rPr>
              <w:t xml:space="preserve"> </w:t>
            </w:r>
            <w:r>
              <w:rPr>
                <w:rStyle w:val="VerbatimChar"/>
                <w:sz w:val="18"/>
              </w:rPr>
              <w:t xml:space="preserve">/base/</w:t>
            </w:r>
            <w:r>
              <w:rPr>
                <w:sz w:val="18"/>
              </w:rPr>
              <w:t xml:space="preserve">, metodologia em</w:t>
            </w:r>
            <w:r>
              <w:rPr>
                <w:sz w:val="18"/>
              </w:rPr>
              <w:t xml:space="preserve"> </w:t>
            </w:r>
            <w:r>
              <w:rPr>
                <w:rStyle w:val="VerbatimChar"/>
                <w:sz w:val="18"/>
              </w:rPr>
              <w:t xml:space="preserve">/sobre/</w:t>
            </w:r>
            <w:r>
              <w:rPr>
                <w:sz w:val="18"/>
              </w:rPr>
              <w:t xml:space="preserve">, produções em</w:t>
            </w:r>
            <w:r>
              <w:rPr>
                <w:sz w:val="18"/>
              </w:rPr>
              <w:t xml:space="preserve"> </w:t>
            </w:r>
            <w:r>
              <w:rPr>
                <w:rStyle w:val="VerbatimChar"/>
                <w:sz w:val="18"/>
              </w:rPr>
              <w:t xml:space="preserve">/producoes/</w:t>
            </w:r>
            <w:r>
              <w:rPr>
                <w:sz w:val="18"/>
              </w:rPr>
              <w:t xml:space="preserve">, história guiada em</w:t>
            </w:r>
            <w:r>
              <w:rPr>
                <w:sz w:val="18"/>
              </w:rPr>
              <w:t xml:space="preserve"> </w:t>
            </w:r>
            <w:r>
              <w:rPr>
                <w:rStyle w:val="VerbatimChar"/>
                <w:sz w:val="18"/>
              </w:rPr>
              <w:t xml:space="preserve">/historia/</w:t>
            </w:r>
            <w:r>
              <w:rPr>
                <w:sz w:val="18"/>
              </w:rPr>
              <w:t xml:space="preserve">, versão em espanhol em</w:t>
            </w:r>
            <w:r>
              <w:rPr>
                <w:sz w:val="18"/>
              </w:rPr>
              <w:t xml:space="preserve"> </w:t>
            </w:r>
            <w:r>
              <w:rPr>
                <w:rStyle w:val="VerbatimChar"/>
                <w:sz w:val="18"/>
              </w:rPr>
              <w:t xml:space="preserve">/es/</w:t>
            </w:r>
            <w:r>
              <w:rPr>
                <w:sz w:val="18"/>
              </w:rPr>
              <w:t xml:space="preserve">)</w:t>
            </w:r>
          </w:p>
        </w:tc>
      </w:tr>
      <w:tr>
        <w:tc>
          <w:tcPr/>
          <w:p>
            <w:pPr>
              <w:pStyle w:val="Compact"/>
              <w:spacing w:after="20"/>
              <w:jc w:val="left"/>
            </w:pPr>
            <w:r>
              <w:rPr>
                <w:sz w:val="18"/>
              </w:rPr>
              <w:t xml:space="preserve">Repositório</w:t>
            </w:r>
          </w:p>
        </w:tc>
        <w:tc>
          <w:tcPr/>
          <w:p>
            <w:pPr>
              <w:pStyle w:val="Compact"/>
              <w:spacing w:after="20"/>
              <w:jc w:val="left"/>
            </w:pPr>
            <w:hyperlink r:id="rId21">
              <w:r>
                <w:rPr>
                  <w:rStyle w:val="Hyperlink"/>
                </w:rPr>
                <w:t xml:space="preserve">https://github.com/wiliansventura98-collab/site-acoes</w:t>
              </w:r>
            </w:hyperlink>
          </w:p>
        </w:tc>
      </w:tr>
      <w:tr>
        <w:tc>
          <w:tcPr/>
          <w:p>
            <w:pPr>
              <w:pStyle w:val="Compact"/>
              <w:spacing w:after="20"/>
              <w:jc w:val="left"/>
            </w:pPr>
            <w:r>
              <w:rPr>
                <w:sz w:val="18"/>
              </w:rPr>
              <w:t xml:space="preserve">Versão deste documento</w:t>
            </w:r>
          </w:p>
        </w:tc>
        <w:tc>
          <w:tcPr/>
          <w:p>
            <w:pPr>
              <w:pStyle w:val="Compact"/>
              <w:spacing w:after="20"/>
              <w:jc w:val="left"/>
            </w:pPr>
            <w:r>
              <w:rPr>
                <w:sz w:val="18"/>
              </w:rPr>
              <w:t xml:space="preserve">2.5 · 30/10/2026</w:t>
            </w:r>
          </w:p>
        </w:tc>
      </w:tr>
      <w:tr>
        <w:tc>
          <w:tcPr/>
          <w:p>
            <w:pPr>
              <w:pStyle w:val="Compact"/>
              <w:spacing w:after="20"/>
              <w:jc w:val="left"/>
            </w:pPr>
            <w:r>
              <w:rPr>
                <w:sz w:val="18"/>
              </w:rPr>
              <w:t xml:space="preserve">Versão em Word</w:t>
            </w:r>
          </w:p>
        </w:tc>
        <w:tc>
          <w:tcPr/>
          <w:p>
            <w:pPr>
              <w:pStyle w:val="Compact"/>
              <w:spacing w:after="20"/>
              <w:jc w:val="left"/>
            </w:pPr>
            <w:hyperlink r:id="rId22">
              <w:r>
                <w:rPr>
                  <w:rStyle w:val="VerbatimChar"/>
                </w:rPr>
                <w:t xml:space="preserve">PROCESSO.docx</w:t>
              </w:r>
            </w:hyperlink>
            <w:r>
              <w:rPr>
                <w:sz w:val="18"/>
              </w:rPr>
              <w:t xml:space="preserve">, gerada por</w:t>
            </w:r>
            <w:r>
              <w:rPr>
                <w:sz w:val="18"/>
              </w:rPr>
              <w:t xml:space="preserve"> </w:t>
            </w:r>
            <w:r>
              <w:rPr>
                <w:rStyle w:val="VerbatimChar"/>
                <w:sz w:val="18"/>
              </w:rPr>
              <w:t xml:space="preserve">python pipeline/gerar_processo_docx.py</w:t>
            </w:r>
          </w:p>
        </w:tc>
      </w:tr>
      <w:tr>
        <w:tc>
          <w:tcPr/>
          <w:p>
            <w:pPr>
              <w:pStyle w:val="Compact"/>
              <w:spacing w:after="20"/>
              <w:jc w:val="left"/>
            </w:pPr>
            <w:r>
              <w:rPr>
                <w:sz w:val="18"/>
              </w:rPr>
              <w:t xml:space="preserve">Licença</w:t>
            </w:r>
          </w:p>
        </w:tc>
        <w:tc>
          <w:tcPr/>
          <w:p>
            <w:pPr>
              <w:pStyle w:val="Compact"/>
              <w:spacing w:after="20"/>
              <w:jc w:val="left"/>
            </w:pPr>
            <w:r>
              <w:rPr>
                <w:sz w:val="18"/>
              </w:rPr>
              <w:t xml:space="preserve">Base de dados: CC BY 4.0 · código: MIT (ver</w:t>
            </w:r>
            <w:r>
              <w:rPr>
                <w:sz w:val="18"/>
              </w:rPr>
              <w:t xml:space="preserve"> </w:t>
            </w:r>
            <w:hyperlink r:id="rId23">
              <w:r>
                <w:rPr>
                  <w:rStyle w:val="VerbatimChar"/>
                </w:rPr>
                <w:t xml:space="preserve">LICENCAS.md</w:t>
              </w:r>
            </w:hyperlink>
            <w:r>
              <w:rPr>
                <w:sz w:val="18"/>
              </w:rPr>
              <w:t xml:space="preserve">)</w:t>
            </w:r>
          </w:p>
        </w:tc>
      </w:tr>
    </w:tbl>
    <w:p>
      <w:pPr>
        <w:pStyle w:val="BlockText"/>
      </w:pPr>
      <w:r>
        <w:rPr>
          <w:bCs/>
          <w:b/>
        </w:rPr>
        <w:t xml:space="preserve">Como manter este documento.</w:t>
      </w:r>
      <w:r>
        <w:t xml:space="preserve"> </w:t>
      </w:r>
      <w:r>
        <w:t xml:space="preserve">A cada avanço (correção da base, nova variável, nova fonte, nova análise ou mudança de critério): (1) atualize a seção correspondente; (2) acrescente uma entrada no</w:t>
      </w:r>
      <w:r>
        <w:t xml:space="preserve"> </w:t>
      </w:r>
      <w:hyperlink w:anchor="X37a24ddc49ec6a08847d5e7c09b751dfa640a32">
        <w:r>
          <w:rPr>
            <w:rStyle w:val="Hyperlink"/>
          </w:rPr>
          <w:t xml:space="preserve">Registro de alterações</w:t>
        </w:r>
      </w:hyperlink>
      <w:r>
        <w:t xml:space="preserve">, com data, o que mudou e por quê; (3) mova o que foi resolvido para fora das</w:t>
      </w:r>
      <w:r>
        <w:t xml:space="preserve"> </w:t>
      </w:r>
      <w:hyperlink w:anchor="X3d9f82193e44c2a113d49ff9b97f8db3ae86c66">
        <w:r>
          <w:rPr>
            <w:rStyle w:val="Hyperlink"/>
          </w:rPr>
          <w:t xml:space="preserve">Pendências</w:t>
        </w:r>
      </w:hyperlink>
      <w:r>
        <w:t xml:space="preserve">; (4) aumente o número da versão; (5) gere de novo a versão em Word com</w:t>
      </w:r>
      <w:r>
        <w:t xml:space="preserve"> </w:t>
      </w:r>
      <w:r>
        <w:rPr>
          <w:rStyle w:val="VerbatimChar"/>
        </w:rPr>
        <w:t xml:space="preserve">python pipeline/gerar_processo_docx.py</w:t>
      </w:r>
      <w:r>
        <w:t xml:space="preserve">. O documento é versionado junto com o código, então o histórico do Git guarda todas as versões anteriores.</w:t>
      </w:r>
    </w:p>
    <w:p>
      <w:r>
        <w:pict>
          <v:rect style="width:0;height:1.5pt" o:hralign="center" o:hrstd="t" o:hr="t"/>
        </w:pict>
      </w:r>
    </w:p>
    <w:bookmarkStart w:id="24" w:name="sumário"/>
    <w:p>
      <w:pPr>
        <w:pStyle w:val="Heading2"/>
      </w:pPr>
      <w:r>
        <w:t xml:space="preserve">Sumário</w:t>
      </w:r>
    </w:p>
    <w:p>
      <w:pPr>
        <w:numPr>
          <w:ilvl w:val="0"/>
          <w:numId w:val="1001"/>
        </w:numPr>
        <w:pStyle w:val="Compact"/>
      </w:pPr>
      <w:hyperlink w:anchor="Xe34d9c7c9c5b7fef514416b308db245f9e26992">
        <w:r>
          <w:rPr>
            <w:rStyle w:val="Hyperlink"/>
          </w:rPr>
          <w:t xml:space="preserve">Visão geral</w:t>
        </w:r>
      </w:hyperlink>
    </w:p>
    <w:p>
      <w:pPr>
        <w:numPr>
          <w:ilvl w:val="0"/>
          <w:numId w:val="1001"/>
        </w:numPr>
        <w:pStyle w:val="Compact"/>
      </w:pPr>
      <w:hyperlink w:anchor="X1cc79192f98ed87b6ef02b50802cdf90e11bb09">
        <w:r>
          <w:rPr>
            <w:rStyle w:val="Hyperlink"/>
          </w:rPr>
          <w:t xml:space="preserve">Roteiro para refazer a base</w:t>
        </w:r>
      </w:hyperlink>
    </w:p>
    <w:p>
      <w:pPr>
        <w:numPr>
          <w:ilvl w:val="0"/>
          <w:numId w:val="1001"/>
        </w:numPr>
        <w:pStyle w:val="Compact"/>
      </w:pPr>
      <w:hyperlink w:anchor="X2859d0823022a7c52bda876a1a5d163769dd958">
        <w:r>
          <w:rPr>
            <w:rStyle w:val="Hyperlink"/>
          </w:rPr>
          <w:t xml:space="preserve">Privacidade e anonimização</w:t>
        </w:r>
      </w:hyperlink>
    </w:p>
    <w:p>
      <w:pPr>
        <w:numPr>
          <w:ilvl w:val="0"/>
          <w:numId w:val="1001"/>
        </w:numPr>
        <w:pStyle w:val="Compact"/>
      </w:pPr>
      <w:hyperlink w:anchor="X3b573216b0059f88763bc966056283587d7a53e">
        <w:r>
          <w:rPr>
            <w:rStyle w:val="Hyperlink"/>
          </w:rPr>
          <w:t xml:space="preserve">Tratamento das notícias</w:t>
        </w:r>
      </w:hyperlink>
    </w:p>
    <w:p>
      <w:pPr>
        <w:numPr>
          <w:ilvl w:val="0"/>
          <w:numId w:val="1001"/>
        </w:numPr>
        <w:pStyle w:val="Compact"/>
      </w:pPr>
      <w:hyperlink w:anchor="Xfedde9b5bea7aaf84fb89824dd9bb669bfc0d5b">
        <w:r>
          <w:rPr>
            <w:rStyle w:val="Hyperlink"/>
          </w:rPr>
          <w:t xml:space="preserve">Espaço: geocodificação e limites</w:t>
        </w:r>
      </w:hyperlink>
    </w:p>
    <w:p>
      <w:pPr>
        <w:numPr>
          <w:ilvl w:val="0"/>
          <w:numId w:val="1001"/>
        </w:numPr>
        <w:pStyle w:val="Compact"/>
      </w:pPr>
      <w:hyperlink w:anchor="X49567ca4f9361cfb8ea9fa1278932e505983f63">
        <w:r>
          <w:rPr>
            <w:rStyle w:val="Hyperlink"/>
          </w:rPr>
          <w:t xml:space="preserve">Indicadores de contexto</w:t>
        </w:r>
      </w:hyperlink>
    </w:p>
    <w:p>
      <w:pPr>
        <w:numPr>
          <w:ilvl w:val="0"/>
          <w:numId w:val="1001"/>
        </w:numPr>
        <w:pStyle w:val="Compact"/>
      </w:pPr>
      <w:hyperlink w:anchor="X6d348273175772d54216bfc7432a22c556cacdc">
        <w:r>
          <w:rPr>
            <w:rStyle w:val="Hyperlink"/>
          </w:rPr>
          <w:t xml:space="preserve">O site: abas, medidas e critérios</w:t>
        </w:r>
      </w:hyperlink>
    </w:p>
    <w:p>
      <w:pPr>
        <w:numPr>
          <w:ilvl w:val="0"/>
          <w:numId w:val="1001"/>
        </w:numPr>
        <w:pStyle w:val="Compact"/>
      </w:pPr>
      <w:hyperlink w:anchor="X9a8a5c3f4675aaafcd01bef6e7fb33b3e7de441">
        <w:r>
          <w:rPr>
            <w:rStyle w:val="Hyperlink"/>
          </w:rPr>
          <w:t xml:space="preserve">Verificações de qualidade</w:t>
        </w:r>
      </w:hyperlink>
    </w:p>
    <w:p>
      <w:pPr>
        <w:numPr>
          <w:ilvl w:val="0"/>
          <w:numId w:val="1001"/>
        </w:numPr>
        <w:pStyle w:val="Compact"/>
      </w:pPr>
      <w:hyperlink w:anchor="X37a24ddc49ec6a08847d5e7c09b751dfa640a32">
        <w:r>
          <w:rPr>
            <w:rStyle w:val="Hyperlink"/>
          </w:rPr>
          <w:t xml:space="preserve">Registro de alterações</w:t>
        </w:r>
      </w:hyperlink>
    </w:p>
    <w:p>
      <w:pPr>
        <w:numPr>
          <w:ilvl w:val="0"/>
          <w:numId w:val="1001"/>
        </w:numPr>
        <w:pStyle w:val="Compact"/>
      </w:pPr>
      <w:hyperlink w:anchor="X3d9f82193e44c2a113d49ff9b97f8db3ae86c66">
        <w:r>
          <w:rPr>
            <w:rStyle w:val="Hyperlink"/>
          </w:rPr>
          <w:t xml:space="preserve">Pendências</w:t>
        </w:r>
      </w:hyperlink>
    </w:p>
    <w:p>
      <w:r>
        <w:pict>
          <v:rect style="width:0;height:1.5pt" o:hralign="center" o:hrstd="t" o:hr="t"/>
        </w:pict>
      </w:r>
    </w:p>
    <w:bookmarkEnd w:id="24"/>
    <w:bookmarkStart w:id="25" w:name="Xe34d9c7c9c5b7fef514416b308db245f9e26992"/>
    <w:p>
      <w:pPr>
        <w:pStyle w:val="Heading2"/>
      </w:pPr>
      <w:r>
        <w:t xml:space="preserve">1. Visão geral</w:t>
      </w:r>
    </w:p>
    <w:p>
      <w:pPr>
        <w:pStyle w:val="FirstParagraph"/>
      </w:pPr>
      <w:r>
        <w:rPr>
          <w:bCs/>
          <w:b/>
        </w:rPr>
        <w:t xml:space="preserve">Objeto.</w:t>
      </w:r>
      <w:r>
        <w:t xml:space="preserve"> </w:t>
      </w:r>
      <w:r>
        <w:t xml:space="preserve">Notícias de imprensa sobre ações coletivas de movimentos sociais na Argentina em 2024, lidas na íntegra e codificadas por pesquisadoras e pesquisadores numa ficha padronizada (formulário com 22 variáveis exploráveis: tempo, ação, protagonistas, instituições, espaço e fonte).</w:t>
      </w:r>
    </w:p>
    <w:p>
      <w:pPr>
        <w:pStyle w:val="BodyText"/>
      </w:pPr>
      <w:r>
        <w:rPr>
          <w:bCs/>
          <w:b/>
        </w:rPr>
        <w:t xml:space="preserve">Números atuais da base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Medida</w:t>
            </w:r>
          </w:p>
        </w:tc>
        <w:tc>
          <w:tcPr>
            <w:shd w:val="clear" w:color="auto" w:fill="EAF3FB"/>
          </w:tcPr>
          <w:p>
            <w:pPr>
              <w:pStyle w:val="Compact"/>
              <w:spacing w:after="20"/>
              <w:jc w:val="left"/>
            </w:pPr>
            <w:r>
              <w:rPr>
                <w:b/>
                <w:sz w:val="18"/>
              </w:rPr>
              <w:t xml:space="preserve">Valor</w:t>
            </w:r>
          </w:p>
        </w:tc>
      </w:tr>
      <w:tr>
        <w:tc>
          <w:tcPr/>
          <w:p>
            <w:pPr>
              <w:pStyle w:val="Compact"/>
              <w:spacing w:after="20"/>
              <w:jc w:val="left"/>
            </w:pPr>
            <w:r>
              <w:rPr>
                <w:sz w:val="18"/>
              </w:rPr>
              <w:t xml:space="preserve">Notícias codificadas</w:t>
            </w:r>
          </w:p>
        </w:tc>
        <w:tc>
          <w:tcPr/>
          <w:p>
            <w:pPr>
              <w:pStyle w:val="Compact"/>
              <w:spacing w:after="20"/>
              <w:jc w:val="left"/>
            </w:pPr>
            <w:r>
              <w:rPr>
                <w:sz w:val="18"/>
              </w:rPr>
              <w:t xml:space="preserve">1.019</w:t>
            </w:r>
          </w:p>
        </w:tc>
      </w:tr>
      <w:tr>
        <w:tc>
          <w:tcPr/>
          <w:p>
            <w:pPr>
              <w:pStyle w:val="Compact"/>
              <w:spacing w:after="20"/>
              <w:jc w:val="left"/>
            </w:pPr>
            <w:r>
              <w:rPr>
                <w:sz w:val="18"/>
              </w:rPr>
              <w:t xml:space="preserve">Notícias únicas (usadas por padrão)</w:t>
            </w:r>
          </w:p>
        </w:tc>
        <w:tc>
          <w:tcPr/>
          <w:p>
            <w:pPr>
              <w:pStyle w:val="Compact"/>
              <w:spacing w:after="20"/>
              <w:jc w:val="left"/>
            </w:pPr>
            <w:r>
              <w:rPr>
                <w:sz w:val="18"/>
              </w:rPr>
              <w:t xml:space="preserve">934 (85 marcadas como repetidas)</w:t>
            </w:r>
          </w:p>
        </w:tc>
      </w:tr>
      <w:tr>
        <w:tc>
          <w:tcPr/>
          <w:p>
            <w:pPr>
              <w:pStyle w:val="Compact"/>
              <w:spacing w:after="20"/>
              <w:jc w:val="left"/>
            </w:pPr>
            <w:r>
              <w:rPr>
                <w:sz w:val="18"/>
              </w:rPr>
              <w:t xml:space="preserve">Variáveis exploráveis</w:t>
            </w:r>
          </w:p>
        </w:tc>
        <w:tc>
          <w:tcPr/>
          <w:p>
            <w:pPr>
              <w:pStyle w:val="Compact"/>
              <w:spacing w:after="20"/>
              <w:jc w:val="left"/>
            </w:pPr>
            <w:r>
              <w:rPr>
                <w:sz w:val="18"/>
              </w:rPr>
              <w:t xml:space="preserve">22</w:t>
            </w:r>
          </w:p>
        </w:tc>
      </w:tr>
      <w:tr>
        <w:tc>
          <w:tcPr/>
          <w:p>
            <w:pPr>
              <w:pStyle w:val="Compact"/>
              <w:spacing w:after="20"/>
              <w:jc w:val="left"/>
            </w:pPr>
            <w:r>
              <w:rPr>
                <w:sz w:val="18"/>
              </w:rPr>
              <w:t xml:space="preserve">Organizações nomeadas</w:t>
            </w:r>
          </w:p>
        </w:tc>
        <w:tc>
          <w:tcPr/>
          <w:p>
            <w:pPr>
              <w:pStyle w:val="Compact"/>
              <w:spacing w:after="20"/>
              <w:jc w:val="left"/>
            </w:pPr>
            <w:r>
              <w:rPr>
                <w:sz w:val="18"/>
              </w:rPr>
              <w:t xml:space="preserve">822 a 867, conforme a regra de contagem (ver seção 4)</w:t>
            </w:r>
          </w:p>
        </w:tc>
      </w:tr>
      <w:tr>
        <w:tc>
          <w:tcPr/>
          <w:p>
            <w:pPr>
              <w:pStyle w:val="Compact"/>
              <w:spacing w:after="20"/>
              <w:jc w:val="left"/>
            </w:pPr>
            <w:r>
              <w:rPr>
                <w:sz w:val="18"/>
              </w:rPr>
              <w:t xml:space="preserve">Províncias com notícias</w:t>
            </w:r>
          </w:p>
        </w:tc>
        <w:tc>
          <w:tcPr/>
          <w:p>
            <w:pPr>
              <w:pStyle w:val="Compact"/>
              <w:spacing w:after="20"/>
              <w:jc w:val="left"/>
            </w:pPr>
            <w:r>
              <w:rPr>
                <w:sz w:val="18"/>
              </w:rPr>
              <w:t xml:space="preserve">24 jurisdições (23 províncias e CABA)</w:t>
            </w:r>
          </w:p>
        </w:tc>
      </w:tr>
      <w:tr>
        <w:tc>
          <w:tcPr/>
          <w:p>
            <w:pPr>
              <w:pStyle w:val="Compact"/>
              <w:spacing w:after="20"/>
              <w:jc w:val="left"/>
            </w:pPr>
            <w:r>
              <w:rPr>
                <w:sz w:val="18"/>
              </w:rPr>
              <w:t xml:space="preserve">Localidades citadas</w:t>
            </w:r>
          </w:p>
        </w:tc>
        <w:tc>
          <w:tcPr/>
          <w:p>
            <w:pPr>
              <w:pStyle w:val="Compact"/>
              <w:spacing w:after="20"/>
              <w:jc w:val="left"/>
            </w:pPr>
            <w:r>
              <w:rPr>
                <w:sz w:val="18"/>
              </w:rPr>
              <w:t xml:space="preserve">130 com ponto no mapa</w:t>
            </w:r>
          </w:p>
        </w:tc>
      </w:tr>
      <w:tr>
        <w:tc>
          <w:tcPr/>
          <w:p>
            <w:pPr>
              <w:pStyle w:val="Compact"/>
              <w:spacing w:after="20"/>
              <w:jc w:val="left"/>
            </w:pPr>
            <w:r>
              <w:rPr>
                <w:sz w:val="18"/>
              </w:rPr>
              <w:t xml:space="preserve">Veículos de imprensa</w:t>
            </w:r>
          </w:p>
        </w:tc>
        <w:tc>
          <w:tcPr/>
          <w:p>
            <w:pPr>
              <w:pStyle w:val="Compact"/>
              <w:spacing w:after="20"/>
              <w:jc w:val="left"/>
            </w:pPr>
            <w:r>
              <w:rPr>
                <w:sz w:val="18"/>
              </w:rPr>
              <w:t xml:space="preserve">508 a 514</w:t>
            </w:r>
          </w:p>
        </w:tc>
      </w:tr>
      <w:tr>
        <w:tc>
          <w:tcPr/>
          <w:p>
            <w:pPr>
              <w:pStyle w:val="Compact"/>
              <w:spacing w:after="20"/>
              <w:jc w:val="left"/>
            </w:pPr>
            <w:r>
              <w:rPr>
                <w:sz w:val="18"/>
              </w:rPr>
              <w:t xml:space="preserve">Período</w:t>
            </w:r>
          </w:p>
        </w:tc>
        <w:tc>
          <w:tcPr/>
          <w:p>
            <w:pPr>
              <w:pStyle w:val="Compact"/>
              <w:spacing w:after="20"/>
              <w:jc w:val="left"/>
            </w:pPr>
            <w:r>
              <w:rPr>
                <w:sz w:val="18"/>
              </w:rPr>
              <w:t xml:space="preserve">02/01/2024 a 29/12/2024</w:t>
            </w:r>
          </w:p>
        </w:tc>
      </w:tr>
    </w:tbl>
    <w:p>
      <w:pPr>
        <w:pStyle w:val="BodyText"/>
      </w:pPr>
      <w:r>
        <w:rPr>
          <w:bCs/>
          <w:b/>
        </w:rPr>
        <w:t xml:space="preserve">Arquitetura.</w:t>
      </w:r>
      <w:r>
        <w:t xml:space="preserve"> </w:t>
      </w:r>
      <w:r>
        <w:t xml:space="preserve">A planilha original nunca é publicada. Um pipeline em Python gera a versão publicável e todos os arquivos de dados. O site é estático (HTML, CSS e JavaScript), hospedado no GitHub Pages. A cada envio ao ramo</w:t>
      </w:r>
      <w:r>
        <w:t xml:space="preserve"> </w:t>
      </w:r>
      <w:r>
        <w:rPr>
          <w:rStyle w:val="VerbatimChar"/>
        </w:rPr>
        <w:t xml:space="preserve">main</w:t>
      </w:r>
      <w:r>
        <w:t xml:space="preserve">, o GitHub Actions verifica a privacidade, roda o pipeline, salva os dados gerados e publica.</w:t>
      </w:r>
    </w:p>
    <w:p>
      <w:pPr>
        <w:pStyle w:val="SourceCode"/>
      </w:pPr>
      <w:r>
        <w:rPr>
          <w:rStyle w:val="VerbatimChar"/>
        </w:rPr>
        <w:t xml:space="preserve">planilha .xlsx (privada)</w:t>
      </w:r>
      <w:r>
        <w:br/>
      </w:r>
      <w:r>
        <w:rPr>
          <w:rStyle w:val="VerbatimChar"/>
        </w:rPr>
        <w:t xml:space="preserve">   │  anonimizar.py            ← descarta nome, sobrenome e e-mail de quem codificou</w:t>
      </w:r>
      <w:r>
        <w:br/>
      </w:r>
      <w:r>
        <w:rPr>
          <w:rStyle w:val="VerbatimChar"/>
        </w:rPr>
        <w:t xml:space="preserve">   ▼</w:t>
      </w:r>
      <w:r>
        <w:br/>
      </w:r>
      <w:r>
        <w:rPr>
          <w:rStyle w:val="VerbatimChar"/>
        </w:rPr>
        <w:t xml:space="preserve">dados/fonte/acoes_2024_fonte.csv (publicável)</w:t>
      </w:r>
      <w:r>
        <w:br/>
      </w:r>
      <w:r>
        <w:rPr>
          <w:rStyle w:val="VerbatimChar"/>
        </w:rPr>
        <w:t xml:space="preserve">   │  construir_site.py</w:t>
      </w:r>
      <w:r>
        <w:br/>
      </w:r>
      <w:r>
        <w:rPr>
          <w:rStyle w:val="VerbatimChar"/>
        </w:rPr>
        <w:t xml:space="preserve">   │    ├─ preparar_dados.py   ← separa valores múltiplos, unifica grafias, deriva o espaço</w:t>
      </w:r>
      <w:r>
        <w:br/>
      </w:r>
      <w:r>
        <w:rPr>
          <w:rStyle w:val="VerbatimChar"/>
        </w:rPr>
        <w:t xml:space="preserve">   │    ├─ geocodificar.py     ← posiciona as localidades</w:t>
      </w:r>
      <w:r>
        <w:br/>
      </w:r>
      <w:r>
        <w:rPr>
          <w:rStyle w:val="VerbatimChar"/>
        </w:rPr>
        <w:t xml:space="preserve">   │    └─ referências         ← limites, população, Censo, RENABAP, ReNaTEP, eleições, femicídios…</w:t>
      </w:r>
      <w:r>
        <w:br/>
      </w:r>
      <w:r>
        <w:rPr>
          <w:rStyle w:val="VerbatimChar"/>
        </w:rPr>
        <w:t xml:space="preserve">   ▼</w:t>
      </w:r>
      <w:r>
        <w:br/>
      </w:r>
      <w:r>
        <w:rPr>
          <w:rStyle w:val="VerbatimChar"/>
        </w:rPr>
        <w:t xml:space="preserve">dados/base.json · geo.json · resumo.json · acoes_2024.csv · dicionario.md</w:t>
      </w:r>
      <w:r>
        <w:br/>
      </w:r>
      <w:r>
        <w:rPr>
          <w:rStyle w:val="VerbatimChar"/>
        </w:rPr>
        <w:t xml:space="preserve">dados/contexto_censo2022_departamentos.csv · relatorio_geocodificacao.csv · camadas/acoes_2024.gpkg</w:t>
      </w:r>
      <w:r>
        <w:br/>
      </w:r>
      <w:r>
        <w:rPr>
          <w:rStyle w:val="VerbatimChar"/>
        </w:rPr>
        <w:t xml:space="preserve">   │</w:t>
      </w:r>
      <w:r>
        <w:br/>
      </w:r>
      <w:r>
        <w:rPr>
          <w:rStyle w:val="VerbatimChar"/>
        </w:rPr>
        <w:t xml:space="preserve">   ▼</w:t>
      </w:r>
      <w:r>
        <w:br/>
      </w:r>
      <w:r>
        <w:rPr>
          <w:rStyle w:val="VerbatimChar"/>
        </w:rPr>
        <w:t xml:space="preserve">site estático: index.html (início) e base/ (base interativa)</w:t>
      </w:r>
    </w:p>
    <w:p>
      <w:r>
        <w:pict>
          <v:rect style="width:0;height:1.5pt" o:hralign="center" o:hrstd="t" o:hr="t"/>
        </w:pict>
      </w:r>
    </w:p>
    <w:bookmarkEnd w:id="25"/>
    <w:bookmarkStart w:id="27" w:name="X1cc79192f98ed87b6ef02b50802cdf90e11bb09"/>
    <w:p>
      <w:pPr>
        <w:pStyle w:val="Heading2"/>
      </w:pPr>
      <w:r>
        <w:t xml:space="preserve">2. Roteiro para refazer a base</w:t>
      </w:r>
    </w:p>
    <w:p>
      <w:pPr>
        <w:pStyle w:val="FirstParagraph"/>
      </w:pPr>
      <w:r>
        <w:t xml:space="preserve">O roteiro completo também está em</w:t>
      </w:r>
      <w:r>
        <w:t xml:space="preserve"> </w:t>
      </w:r>
      <w:hyperlink r:id="rId26">
        <w:r>
          <w:rPr>
            <w:rStyle w:val="VerbatimChar"/>
          </w:rPr>
          <w:t xml:space="preserve">pipeline/reconstruir.sh</w:t>
        </w:r>
      </w:hyperlink>
      <w:r>
        <w:t xml:space="preserve">, que executa as etapas na ordem.</w:t>
      </w:r>
    </w:p>
    <w:p>
      <w:pPr>
        <w:pStyle w:val="SourceCode"/>
      </w:pPr>
      <w:r>
        <w:rPr>
          <w:rStyle w:val="CommentTok"/>
        </w:rPr>
        <w:t xml:space="preserve"># 0. Ambiente (Python 3.12)</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pipeline/requirements.txt      </w:t>
      </w:r>
      <w:r>
        <w:rPr>
          <w:rStyle w:val="CommentTok"/>
        </w:rPr>
        <w:t xml:space="preserve"># pandas, openpyxl, geopandas, pyogrio, shapely</w:t>
      </w:r>
      <w:r>
        <w:br/>
      </w:r>
      <w:r>
        <w:br/>
      </w:r>
      <w:r>
        <w:rPr>
          <w:rStyle w:val="CommentTok"/>
        </w:rPr>
        <w:t xml:space="preserve"># 1. Versão publicável da planilha (a planilha .xlsx fica FORA do repositório)</w:t>
      </w:r>
      <w:r>
        <w:br/>
      </w:r>
      <w:r>
        <w:rPr>
          <w:rStyle w:val="ExtensionTok"/>
        </w:rPr>
        <w:t xml:space="preserve">python</w:t>
      </w:r>
      <w:r>
        <w:rPr>
          <w:rStyle w:val="NormalTok"/>
        </w:rPr>
        <w:t xml:space="preserve"> pipeline/anonimizar.py caminho/2024_Base_Tratada.xlsx </w:t>
      </w:r>
      <w:r>
        <w:rPr>
          <w:rStyle w:val="AttributeTok"/>
        </w:rPr>
        <w:t xml:space="preserve">--ano</w:t>
      </w:r>
      <w:r>
        <w:rPr>
          <w:rStyle w:val="NormalTok"/>
        </w:rPr>
        <w:t xml:space="preserve"> 2024</w:t>
      </w:r>
      <w:r>
        <w:br/>
      </w:r>
      <w:r>
        <w:rPr>
          <w:rStyle w:val="CommentTok"/>
        </w:rPr>
        <w:t xml:space="preserve">#    → dados/fonte/acoes_2024_fonte.csv</w:t>
      </w:r>
      <w:r>
        <w:br/>
      </w:r>
      <w:r>
        <w:br/>
      </w:r>
      <w:r>
        <w:rPr>
          <w:rStyle w:val="CommentTok"/>
        </w:rPr>
        <w:t xml:space="preserve"># 2. Verificação de privacidade (interrompe se houver planilha, coluna pessoal ou e-mail)</w:t>
      </w:r>
      <w:r>
        <w:br/>
      </w:r>
      <w:r>
        <w:rPr>
          <w:rStyle w:val="ExtensionTok"/>
        </w:rPr>
        <w:t xml:space="preserve">python</w:t>
      </w:r>
      <w:r>
        <w:rPr>
          <w:rStyle w:val="NormalTok"/>
        </w:rPr>
        <w:t xml:space="preserve"> pipeline/verificar_privacidade.py</w:t>
      </w:r>
      <w:r>
        <w:br/>
      </w:r>
      <w:r>
        <w:br/>
      </w:r>
      <w:r>
        <w:rPr>
          <w:rStyle w:val="CommentTok"/>
        </w:rPr>
        <w:t xml:space="preserve"># 3. Dados do site, CSVs abertos e GeoPackage</w:t>
      </w:r>
      <w:r>
        <w:br/>
      </w:r>
      <w:r>
        <w:rPr>
          <w:rStyle w:val="ExtensionTok"/>
        </w:rPr>
        <w:t xml:space="preserve">python</w:t>
      </w:r>
      <w:r>
        <w:rPr>
          <w:rStyle w:val="NormalTok"/>
        </w:rPr>
        <w:t xml:space="preserve"> pipeline/construir_site.py </w:t>
      </w:r>
      <w:r>
        <w:rPr>
          <w:rStyle w:val="AttributeTok"/>
        </w:rPr>
        <w:t xml:space="preserve">--ano</w:t>
      </w:r>
      <w:r>
        <w:rPr>
          <w:rStyle w:val="NormalTok"/>
        </w:rPr>
        <w:t xml:space="preserve"> 2024              </w:t>
      </w:r>
      <w:r>
        <w:rPr>
          <w:rStyle w:val="CommentTok"/>
        </w:rPr>
        <w:t xml:space="preserve"># --sem-camadas pula o GeoPackage</w:t>
      </w:r>
      <w:r>
        <w:br/>
      </w:r>
      <w:r>
        <w:br/>
      </w:r>
      <w:r>
        <w:rPr>
          <w:rStyle w:val="CommentTok"/>
        </w:rPr>
        <w:t xml:space="preserve"># 4. Nova verificação, agora sobre os dados gerados</w:t>
      </w:r>
      <w:r>
        <w:br/>
      </w:r>
      <w:r>
        <w:rPr>
          <w:rStyle w:val="ExtensionTok"/>
        </w:rPr>
        <w:t xml:space="preserve">python</w:t>
      </w:r>
      <w:r>
        <w:rPr>
          <w:rStyle w:val="NormalTok"/>
        </w:rPr>
        <w:t xml:space="preserve"> pipeline/verificar_privacidade.py</w:t>
      </w:r>
      <w:r>
        <w:br/>
      </w:r>
      <w:r>
        <w:br/>
      </w:r>
      <w:r>
        <w:rPr>
          <w:rStyle w:val="CommentTok"/>
        </w:rPr>
        <w:t xml:space="preserve"># 5. Versão em espanhol (requer Node; o pacote typescript só é usado para ler o JavaScript)</w:t>
      </w:r>
      <w:r>
        <w:br/>
      </w:r>
      <w:r>
        <w:rPr>
          <w:rStyle w:val="ExtensionTok"/>
        </w:rPr>
        <w:t xml:space="preserve">npm</w:t>
      </w:r>
      <w:r>
        <w:rPr>
          <w:rStyle w:val="NormalTok"/>
        </w:rPr>
        <w:t xml:space="preserve"> install </w:t>
      </w:r>
      <w:r>
        <w:rPr>
          <w:rStyle w:val="AttributeTok"/>
        </w:rPr>
        <w:t xml:space="preserve">--prefix</w:t>
      </w:r>
      <w:r>
        <w:rPr>
          <w:rStyle w:val="NormalTok"/>
        </w:rPr>
        <w:t xml:space="preserve"> i18n </w:t>
      </w:r>
      <w:r>
        <w:rPr>
          <w:rStyle w:val="AttributeTok"/>
        </w:rPr>
        <w:t xml:space="preserve">--no-save</w:t>
      </w:r>
      <w:r>
        <w:rPr>
          <w:rStyle w:val="NormalTok"/>
        </w:rPr>
        <w:t xml:space="preserve"> </w:t>
      </w:r>
      <w:r>
        <w:rPr>
          <w:rStyle w:val="AttributeTok"/>
        </w:rPr>
        <w:t xml:space="preserve">--no-package-lock</w:t>
      </w:r>
      <w:r>
        <w:rPr>
          <w:rStyle w:val="NormalTok"/>
        </w:rPr>
        <w:t xml:space="preserve"> typescript@5.6.3</w:t>
      </w:r>
      <w:r>
        <w:br/>
      </w:r>
      <w:r>
        <w:rPr>
          <w:rStyle w:val="ExtensionTok"/>
        </w:rPr>
        <w:t xml:space="preserve">node</w:t>
      </w:r>
      <w:r>
        <w:rPr>
          <w:rStyle w:val="NormalTok"/>
        </w:rPr>
        <w:t xml:space="preserve"> i18n/ferramenta.js gerar                           </w:t>
      </w:r>
      <w:r>
        <w:rPr>
          <w:rStyle w:val="CommentTok"/>
        </w:rPr>
        <w:t xml:space="preserve"># → es/, assets/js/app-es/, i18n/pendentes.json</w:t>
      </w:r>
      <w:r>
        <w:br/>
      </w:r>
      <w:r>
        <w:br/>
      </w:r>
      <w:r>
        <w:rPr>
          <w:rStyle w:val="CommentTok"/>
        </w:rPr>
        <w:t xml:space="preserve"># 6. Ver localmente</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                                </w:t>
      </w:r>
      <w:r>
        <w:rPr>
          <w:rStyle w:val="CommentTok"/>
        </w:rPr>
        <w:t xml:space="preserve"># abrir http://localhost:8000/base/ e /es/base/</w:t>
      </w:r>
      <w:r>
        <w:br/>
      </w:r>
      <w:r>
        <w:br/>
      </w:r>
      <w:r>
        <w:rPr>
          <w:rStyle w:val="CommentTok"/>
        </w:rPr>
        <w:t xml:space="preserve"># 7. Publicar: enviar ao ramo main; o GitHub Actions (.github/workflows/publicar.yml) repete 2–5 e publica</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push</w:t>
      </w:r>
    </w:p>
    <w:p>
      <w:pPr>
        <w:pStyle w:val="FirstParagraph"/>
      </w:pPr>
      <w:r>
        <w:rPr>
          <w:bCs/>
          <w:b/>
        </w:rPr>
        <w:t xml:space="preserve">Atualizar a base com uma nova versão da planilha:</w:t>
      </w:r>
      <w:r>
        <w:t xml:space="preserve"> </w:t>
      </w:r>
      <w:r>
        <w:t xml:space="preserve">repetir os passos 1 a 7. Os arquivos de referência (</w:t>
      </w:r>
      <w:r>
        <w:rPr>
          <w:rStyle w:val="VerbatimChar"/>
        </w:rPr>
        <w:t xml:space="preserve">pipeline/referencias/</w:t>
      </w:r>
      <w:r>
        <w:t xml:space="preserve">) não precisam ser baixados de novo.</w:t>
      </w:r>
    </w:p>
    <w:p>
      <w:pPr>
        <w:pStyle w:val="BodyText"/>
      </w:pPr>
      <w:r>
        <w:rPr>
          <w:bCs/>
          <w:b/>
        </w:rPr>
        <w:t xml:space="preserve">Cache do navegador:</w:t>
      </w:r>
      <w:r>
        <w:t xml:space="preserve"> </w:t>
      </w:r>
      <w:r>
        <w:t xml:space="preserve">ao mudar CSS ou JavaScript, trocar o parâmetro</w:t>
      </w:r>
      <w:r>
        <w:t xml:space="preserve"> </w:t>
      </w:r>
      <w:r>
        <w:rPr>
          <w:rStyle w:val="VerbatimChar"/>
        </w:rPr>
        <w:t xml:space="preserve">?v=AAAAMMDDx</w:t>
      </w:r>
      <w:r>
        <w:t xml:space="preserve"> </w:t>
      </w:r>
      <w:r>
        <w:t xml:space="preserve">em</w:t>
      </w:r>
      <w:r>
        <w:t xml:space="preserve"> </w:t>
      </w:r>
      <w:r>
        <w:rPr>
          <w:rStyle w:val="VerbatimChar"/>
        </w:rPr>
        <w:t xml:space="preserve">index.html</w:t>
      </w:r>
      <w:r>
        <w:t xml:space="preserve">,</w:t>
      </w:r>
      <w:r>
        <w:t xml:space="preserve"> </w:t>
      </w:r>
      <w:r>
        <w:rPr>
          <w:rStyle w:val="VerbatimChar"/>
        </w:rPr>
        <w:t xml:space="preserve">base/index.html</w:t>
      </w:r>
      <w:r>
        <w:t xml:space="preserve"> </w:t>
      </w:r>
      <w:r>
        <w:t xml:space="preserve">e</w:t>
      </w:r>
      <w:r>
        <w:t xml:space="preserve"> </w:t>
      </w:r>
      <w:r>
        <w:rPr>
          <w:rStyle w:val="VerbatimChar"/>
        </w:rPr>
        <w:t xml:space="preserve">assets/js/app/carregar.js</w:t>
      </w:r>
      <w:r>
        <w:t xml:space="preserve">, para que os visitantes recebam a versão nova.</w:t>
      </w:r>
    </w:p>
    <w:p>
      <w:r>
        <w:pict>
          <v:rect style="width:0;height:1.5pt" o:hralign="center" o:hrstd="t" o:hr="t"/>
        </w:pict>
      </w:r>
    </w:p>
    <w:bookmarkEnd w:id="27"/>
    <w:bookmarkStart w:id="28" w:name="X2859d0823022a7c52bda876a1a5d163769dd958"/>
    <w:p>
      <w:pPr>
        <w:pStyle w:val="Heading2"/>
      </w:pPr>
      <w:r>
        <w:t xml:space="preserve">3. Privacidade e anonimização</w:t>
      </w:r>
    </w:p>
    <w:p>
      <w:pPr>
        <w:numPr>
          <w:ilvl w:val="0"/>
          <w:numId w:val="1002"/>
        </w:numPr>
        <w:pStyle w:val="Compact"/>
      </w:pPr>
      <w:r>
        <w:t xml:space="preserve">A planilha original contém nome, sobrenome e e-mail de quem codificou.</w:t>
      </w:r>
      <w:r>
        <w:t xml:space="preserve"> </w:t>
      </w:r>
      <w:r>
        <w:rPr>
          <w:bCs/>
          <w:b/>
        </w:rPr>
        <w:t xml:space="preserve">Ela nunca vai para o repositório</w:t>
      </w:r>
      <w:r>
        <w:t xml:space="preserve">: o</w:t>
      </w:r>
      <w:r>
        <w:t xml:space="preserve"> </w:t>
      </w:r>
      <w:r>
        <w:rPr>
          <w:rStyle w:val="VerbatimChar"/>
        </w:rPr>
        <w:t xml:space="preserve">.gitignore</w:t>
      </w:r>
      <w:r>
        <w:t xml:space="preserve"> </w:t>
      </w:r>
      <w:r>
        <w:t xml:space="preserve">bloqueia</w:t>
      </w:r>
      <w:r>
        <w:t xml:space="preserve"> </w:t>
      </w:r>
      <w:r>
        <w:rPr>
          <w:rStyle w:val="VerbatimChar"/>
        </w:rPr>
        <w:t xml:space="preserve">.xlsx</w:t>
      </w:r>
      <w:r>
        <w:t xml:space="preserve">/</w:t>
      </w:r>
      <w:r>
        <w:rPr>
          <w:rStyle w:val="VerbatimChar"/>
        </w:rPr>
        <w:t xml:space="preserve">.xls</w:t>
      </w:r>
      <w:r>
        <w:t xml:space="preserve">, e</w:t>
      </w:r>
      <w:r>
        <w:t xml:space="preserve"> </w:t>
      </w:r>
      <w:r>
        <w:rPr>
          <w:rStyle w:val="VerbatimChar"/>
        </w:rPr>
        <w:t xml:space="preserve">verificar_privacidade.py</w:t>
      </w:r>
      <w:r>
        <w:t xml:space="preserve"> </w:t>
      </w:r>
      <w:r>
        <w:t xml:space="preserve">falha se encontrar planilhas, colunas fora da lista publicável ou endereços de e-mail nos dados.</w:t>
      </w:r>
    </w:p>
    <w:p>
      <w:pPr>
        <w:numPr>
          <w:ilvl w:val="0"/>
          <w:numId w:val="1002"/>
        </w:numPr>
        <w:pStyle w:val="Compact"/>
      </w:pPr>
      <w:r>
        <w:rPr>
          <w:rStyle w:val="VerbatimChar"/>
        </w:rPr>
        <w:t xml:space="preserve">anonimizar.py</w:t>
      </w:r>
      <w:r>
        <w:t xml:space="preserve"> </w:t>
      </w:r>
      <w:r>
        <w:t xml:space="preserve">mantém apenas as colunas listadas em</w:t>
      </w:r>
      <w:r>
        <w:t xml:space="preserve"> </w:t>
      </w:r>
      <w:r>
        <w:rPr>
          <w:rStyle w:val="VerbatimChar"/>
        </w:rPr>
        <w:t xml:space="preserve">COLUNAS_PUBLICAVEIS</w:t>
      </w:r>
      <w:r>
        <w:t xml:space="preserve"> </w:t>
      </w:r>
      <w:r>
        <w:t xml:space="preserve">(</w:t>
      </w:r>
      <w:r>
        <w:rPr>
          <w:rStyle w:val="VerbatimChar"/>
        </w:rPr>
        <w:t xml:space="preserve">pipeline/comum.py</w:t>
      </w:r>
      <w:r>
        <w:t xml:space="preserve">) e descarta as demais: dados pessoais de quem codificou, data de envio do formulário e observações internas de revisão.</w:t>
      </w:r>
    </w:p>
    <w:p>
      <w:pPr>
        <w:numPr>
          <w:ilvl w:val="0"/>
          <w:numId w:val="1002"/>
        </w:numPr>
        <w:pStyle w:val="Compact"/>
      </w:pPr>
      <w:r>
        <w:t xml:space="preserve">A verificação roda duas vezes no GitHub Actions: antes e depois de gerar os dados.</w:t>
      </w:r>
    </w:p>
    <w:p>
      <w:pPr>
        <w:numPr>
          <w:ilvl w:val="0"/>
          <w:numId w:val="1002"/>
        </w:numPr>
        <w:pStyle w:val="Compact"/>
      </w:pPr>
      <w:r>
        <w:t xml:space="preserve">Downloads de dados externos só foram feitos com autorização explícita do responsável (18 e 19/10/2026).</w:t>
      </w:r>
    </w:p>
    <w:p>
      <w:r>
        <w:pict>
          <v:rect style="width:0;height:1.5pt" o:hralign="center" o:hrstd="t" o:hr="t"/>
        </w:pict>
      </w:r>
    </w:p>
    <w:bookmarkEnd w:id="28"/>
    <w:bookmarkStart w:id="29" w:name="X3b573216b0059f88763bc966056283587d7a53e"/>
    <w:p>
      <w:pPr>
        <w:pStyle w:val="Heading2"/>
      </w:pPr>
      <w:r>
        <w:t xml:space="preserve">4. Tratamento das notícias</w:t>
      </w:r>
    </w:p>
    <w:p>
      <w:pPr>
        <w:pStyle w:val="FirstParagraph"/>
      </w:pPr>
      <w:r>
        <w:t xml:space="preserve">Executado por</w:t>
      </w:r>
      <w:r>
        <w:t xml:space="preserve"> </w:t>
      </w:r>
      <w:r>
        <w:rPr>
          <w:rStyle w:val="VerbatimChar"/>
        </w:rPr>
        <w:t xml:space="preserve">pipeline/preparar_dados.py</w:t>
      </w:r>
      <w:r>
        <w:t xml:space="preserv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Passo</w:t>
            </w:r>
          </w:p>
        </w:tc>
        <w:tc>
          <w:tcPr>
            <w:shd w:val="clear" w:color="auto" w:fill="EAF3FB"/>
          </w:tcPr>
          <w:p>
            <w:pPr>
              <w:pStyle w:val="Compact"/>
              <w:spacing w:after="20"/>
              <w:jc w:val="left"/>
            </w:pPr>
            <w:r>
              <w:rPr>
                <w:b/>
                <w:sz w:val="18"/>
              </w:rPr>
              <w:t xml:space="preserve">Regra</w:t>
            </w:r>
          </w:p>
        </w:tc>
      </w:tr>
      <w:tr>
        <w:tc>
          <w:tcPr/>
          <w:p>
            <w:pPr>
              <w:pStyle w:val="Compact"/>
              <w:spacing w:after="20"/>
              <w:jc w:val="left"/>
            </w:pPr>
            <w:r>
              <w:rPr>
                <w:sz w:val="18"/>
              </w:rPr>
              <w:t xml:space="preserve">Valores múltiplos</w:t>
            </w:r>
          </w:p>
        </w:tc>
        <w:tc>
          <w:tcPr/>
          <w:p>
            <w:pPr>
              <w:pStyle w:val="Compact"/>
              <w:spacing w:after="20"/>
              <w:jc w:val="left"/>
            </w:pPr>
            <w:r>
              <w:rPr>
                <w:sz w:val="18"/>
              </w:rPr>
              <w:t xml:space="preserve">Campos com vários valores, separados por</w:t>
            </w:r>
            <w:r>
              <w:rPr>
                <w:sz w:val="18"/>
              </w:rPr>
              <w:t xml:space="preserve"> </w:t>
            </w:r>
            <w:r>
              <w:rPr>
                <w:rStyle w:val="VerbatimChar"/>
                <w:sz w:val="18"/>
              </w:rPr>
              <w:t xml:space="preserve">;</w:t>
            </w:r>
            <w:r>
              <w:rPr>
                <w:sz w:val="18"/>
              </w:rPr>
              <w:t xml:space="preserve"> </w:t>
            </w:r>
            <w:r>
              <w:rPr>
                <w:sz w:val="18"/>
              </w:rPr>
              <w:t xml:space="preserve">ou quebra de linha, viram listas. Uma notícia pode ter, por exemplo, dois tipos de movimento; por isso as porcentagens podem somar mais de 100%.</w:t>
            </w:r>
          </w:p>
        </w:tc>
      </w:tr>
      <w:tr>
        <w:tc>
          <w:tcPr/>
          <w:p>
            <w:pPr>
              <w:pStyle w:val="Compact"/>
              <w:spacing w:after="20"/>
              <w:jc w:val="left"/>
            </w:pPr>
            <w:r>
              <w:rPr>
                <w:sz w:val="18"/>
              </w:rPr>
              <w:t xml:space="preserve">Grafias</w:t>
            </w:r>
          </w:p>
        </w:tc>
        <w:tc>
          <w:tcPr/>
          <w:p>
            <w:pPr>
              <w:pStyle w:val="Compact"/>
              <w:spacing w:after="20"/>
              <w:jc w:val="left"/>
            </w:pPr>
            <w:r>
              <w:rPr>
                <w:sz w:val="18"/>
              </w:rPr>
              <w:t xml:space="preserve">Unificação de maiúsculas, acentos e espaços; siglas de movimentos contam junto com o nome completo (ex.: “UTEP” = “Unión de Trabajadores y Trabajadoras de la Economía Popular (UTEP)”); nomes dos ODS padronizados (</w:t>
            </w:r>
            <w:r>
              <w:rPr>
                <w:rStyle w:val="VerbatimChar"/>
                <w:sz w:val="18"/>
              </w:rPr>
              <w:t xml:space="preserve">ODS n · nome</w:t>
            </w:r>
            <w:r>
              <w:rPr>
                <w:sz w:val="18"/>
              </w:rPr>
              <w:t xml:space="preserve">); veículos de imprensa padronizados; repetições dentro da mesma notícia removidas.</w:t>
            </w:r>
          </w:p>
        </w:tc>
      </w:tr>
      <w:tr>
        <w:tc>
          <w:tcPr/>
          <w:p>
            <w:pPr>
              <w:pStyle w:val="Compact"/>
              <w:spacing w:after="20"/>
              <w:jc w:val="left"/>
            </w:pPr>
            <w:r>
              <w:rPr>
                <w:sz w:val="18"/>
              </w:rPr>
              <w:t xml:space="preserve">Tipologia da ação</w:t>
            </w:r>
          </w:p>
        </w:tc>
        <w:tc>
          <w:tcPr/>
          <w:p>
            <w:pPr>
              <w:pStyle w:val="Compact"/>
              <w:spacing w:after="20"/>
              <w:jc w:val="left"/>
            </w:pPr>
            <w:r>
              <w:rPr>
                <w:sz w:val="18"/>
              </w:rPr>
              <w:t xml:space="preserve">O campo “Acción matriz y derivada” é dividido em</w:t>
            </w:r>
            <w:r>
              <w:rPr>
                <w:sz w:val="18"/>
              </w:rPr>
              <w:t xml:space="preserve"> </w:t>
            </w:r>
            <w:r>
              <w:rPr>
                <w:bCs/>
                <w:b/>
                <w:sz w:val="18"/>
              </w:rPr>
              <w:t xml:space="preserve">ação matriz</w:t>
            </w:r>
            <w:r>
              <w:rPr>
                <w:sz w:val="18"/>
              </w:rPr>
              <w:t xml:space="preserve"> </w:t>
            </w:r>
            <w:r>
              <w:rPr>
                <w:sz w:val="18"/>
              </w:rPr>
              <w:t xml:space="preserve">(tipo geral) e</w:t>
            </w:r>
            <w:r>
              <w:rPr>
                <w:sz w:val="18"/>
              </w:rPr>
              <w:t xml:space="preserve"> </w:t>
            </w:r>
            <w:r>
              <w:rPr>
                <w:bCs/>
                <w:b/>
                <w:sz w:val="18"/>
              </w:rPr>
              <w:t xml:space="preserve">ação derivada</w:t>
            </w:r>
            <w:r>
              <w:rPr>
                <w:sz w:val="18"/>
              </w:rPr>
              <w:t xml:space="preserve"> </w:t>
            </w:r>
            <w:r>
              <w:rPr>
                <w:sz w:val="18"/>
              </w:rPr>
              <w:t xml:space="preserve">(forma concreta).</w:t>
            </w:r>
          </w:p>
        </w:tc>
      </w:tr>
      <w:tr>
        <w:tc>
          <w:tcPr/>
          <w:p>
            <w:pPr>
              <w:pStyle w:val="Compact"/>
              <w:spacing w:after="20"/>
              <w:jc w:val="left"/>
            </w:pPr>
            <w:r>
              <w:rPr>
                <w:sz w:val="18"/>
              </w:rPr>
              <w:t xml:space="preserve">Espaço</w:t>
            </w:r>
          </w:p>
        </w:tc>
        <w:tc>
          <w:tcPr/>
          <w:p>
            <w:pPr>
              <w:pStyle w:val="Compact"/>
              <w:spacing w:after="20"/>
              <w:jc w:val="left"/>
            </w:pPr>
            <w:r>
              <w:rPr>
                <w:sz w:val="18"/>
              </w:rPr>
              <w:t xml:space="preserve">A referência espacial (</w:t>
            </w:r>
            <w:r>
              <w:rPr>
                <w:rStyle w:val="VerbatimChar"/>
                <w:sz w:val="18"/>
              </w:rPr>
              <w:t xml:space="preserve">localidade;departamento;província;código</w:t>
            </w:r>
            <w:r>
              <w:rPr>
                <w:sz w:val="18"/>
              </w:rPr>
              <w:t xml:space="preserve">) gera província, departamento/partido, localidade e</w:t>
            </w:r>
            <w:r>
              <w:rPr>
                <w:sz w:val="18"/>
              </w:rPr>
              <w:t xml:space="preserve"> </w:t>
            </w:r>
            <w:r>
              <w:rPr>
                <w:bCs/>
                <w:b/>
                <w:sz w:val="18"/>
              </w:rPr>
              <w:t xml:space="preserve">região do INDEC</w:t>
            </w:r>
            <w:r>
              <w:rPr>
                <w:sz w:val="18"/>
              </w:rPr>
              <w:t xml:space="preserve"> </w:t>
            </w:r>
            <w:r>
              <w:rPr>
                <w:sz w:val="18"/>
              </w:rPr>
              <w:t xml:space="preserve">(Gran Buenos Aires = CABA + 24 partidos; demais partidos de Buenos Aires em Pampeana).</w:t>
            </w:r>
          </w:p>
        </w:tc>
      </w:tr>
      <w:tr>
        <w:tc>
          <w:tcPr/>
          <w:p>
            <w:pPr>
              <w:pStyle w:val="Compact"/>
              <w:spacing w:after="20"/>
              <w:jc w:val="left"/>
            </w:pPr>
            <w:r>
              <w:rPr>
                <w:sz w:val="18"/>
              </w:rPr>
              <w:t xml:space="preserve">Datas</w:t>
            </w:r>
          </w:p>
        </w:tc>
        <w:tc>
          <w:tcPr/>
          <w:p>
            <w:pPr>
              <w:pStyle w:val="Compact"/>
              <w:spacing w:after="20"/>
              <w:jc w:val="left"/>
            </w:pPr>
            <w:r>
              <w:rPr>
                <w:sz w:val="18"/>
              </w:rPr>
              <w:t xml:space="preserve">Data de início da ação; na falta dela, data de publicação. Usada na série semanal e no calendário.</w:t>
            </w:r>
          </w:p>
        </w:tc>
      </w:tr>
      <w:tr>
        <w:tc>
          <w:tcPr/>
          <w:p>
            <w:pPr>
              <w:pStyle w:val="Compact"/>
              <w:spacing w:after="20"/>
              <w:jc w:val="left"/>
            </w:pPr>
            <w:r>
              <w:rPr>
                <w:sz w:val="18"/>
              </w:rPr>
              <w:t xml:space="preserve">Ano e país</w:t>
            </w:r>
          </w:p>
        </w:tc>
        <w:tc>
          <w:tcPr/>
          <w:p>
            <w:pPr>
              <w:pStyle w:val="Compact"/>
              <w:spacing w:after="20"/>
              <w:jc w:val="left"/>
            </w:pPr>
            <w:r>
              <w:rPr>
                <w:sz w:val="18"/>
              </w:rPr>
              <w:t xml:space="preserve">Duas variáveis novas no início da base (30/10/2026).</w:t>
            </w:r>
            <w:r>
              <w:rPr>
                <w:sz w:val="18"/>
              </w:rPr>
              <w:t xml:space="preserve"> </w:t>
            </w:r>
            <w:r>
              <w:rPr>
                <w:bCs/>
                <w:b/>
                <w:sz w:val="18"/>
              </w:rPr>
              <w:t xml:space="preserve">Ano</w:t>
            </w:r>
            <w:r>
              <w:rPr>
                <w:sz w:val="18"/>
              </w:rPr>
              <w:t xml:space="preserve">: coluna</w:t>
            </w:r>
            <w:r>
              <w:rPr>
                <w:sz w:val="18"/>
              </w:rPr>
              <w:t xml:space="preserve"> </w:t>
            </w:r>
            <w:r>
              <w:rPr>
                <w:rStyle w:val="VerbatimChar"/>
                <w:sz w:val="18"/>
              </w:rPr>
              <w:t xml:space="preserve">Año</w:t>
            </w:r>
            <w:r>
              <w:rPr>
                <w:sz w:val="18"/>
              </w:rPr>
              <w:t xml:space="preserve"> </w:t>
            </w:r>
            <w:r>
              <w:rPr>
                <w:sz w:val="18"/>
              </w:rPr>
              <w:t xml:space="preserve">(ou</w:t>
            </w:r>
            <w:r>
              <w:rPr>
                <w:sz w:val="18"/>
              </w:rPr>
              <w:t xml:space="preserve"> </w:t>
            </w:r>
            <w:r>
              <w:rPr>
                <w:rStyle w:val="VerbatimChar"/>
                <w:sz w:val="18"/>
              </w:rPr>
              <w:t xml:space="preserve">Ano</w:t>
            </w:r>
            <w:r>
              <w:rPr>
                <w:sz w:val="18"/>
              </w:rPr>
              <w:t xml:space="preserve">) da planilha, se existir; senão, o ano da data da notícia.</w:t>
            </w:r>
            <w:r>
              <w:rPr>
                <w:sz w:val="18"/>
              </w:rPr>
              <w:t xml:space="preserve"> </w:t>
            </w:r>
            <w:r>
              <w:rPr>
                <w:bCs/>
                <w:b/>
                <w:sz w:val="18"/>
              </w:rPr>
              <w:t xml:space="preserve">País</w:t>
            </w:r>
            <w:r>
              <w:rPr>
                <w:sz w:val="18"/>
              </w:rPr>
              <w:t xml:space="preserve">: coluna</w:t>
            </w:r>
            <w:r>
              <w:rPr>
                <w:sz w:val="18"/>
              </w:rPr>
              <w:t xml:space="preserve"> </w:t>
            </w:r>
            <w:r>
              <w:rPr>
                <w:rStyle w:val="VerbatimChar"/>
                <w:sz w:val="18"/>
              </w:rPr>
              <w:t xml:space="preserve">País</w:t>
            </w:r>
            <w:r>
              <w:rPr>
                <w:sz w:val="18"/>
              </w:rPr>
              <w:t xml:space="preserve"> </w:t>
            </w:r>
            <w:r>
              <w:rPr>
                <w:sz w:val="18"/>
              </w:rPr>
              <w:t xml:space="preserve">(ou</w:t>
            </w:r>
            <w:r>
              <w:rPr>
                <w:sz w:val="18"/>
              </w:rPr>
              <w:t xml:space="preserve"> </w:t>
            </w:r>
            <w:r>
              <w:rPr>
                <w:rStyle w:val="VerbatimChar"/>
                <w:sz w:val="18"/>
              </w:rPr>
              <w:t xml:space="preserve">Pais</w:t>
            </w:r>
            <w:r>
              <w:rPr>
                <w:sz w:val="18"/>
              </w:rPr>
              <w:t xml:space="preserve">), se existir; senão, “Argentina”. As duas colunas são opcionais em</w:t>
            </w:r>
            <w:r>
              <w:rPr>
                <w:sz w:val="18"/>
              </w:rPr>
              <w:t xml:space="preserve"> </w:t>
            </w:r>
            <w:r>
              <w:rPr>
                <w:rStyle w:val="VerbatimChar"/>
                <w:sz w:val="18"/>
              </w:rPr>
              <w:t xml:space="preserve">anonimizar.py</w:t>
            </w:r>
            <w:r>
              <w:rPr>
                <w:sz w:val="18"/>
              </w:rPr>
              <w:t xml:space="preserve"> </w:t>
            </w:r>
            <w:r>
              <w:rPr>
                <w:sz w:val="18"/>
              </w:rPr>
              <w:t xml:space="preserve">e</w:t>
            </w:r>
            <w:r>
              <w:rPr>
                <w:sz w:val="18"/>
              </w:rPr>
              <w:t xml:space="preserve"> </w:t>
            </w:r>
            <w:r>
              <w:rPr>
                <w:rStyle w:val="VerbatimChar"/>
                <w:sz w:val="18"/>
              </w:rPr>
              <w:t xml:space="preserve">verificar_privacidade.py</w:t>
            </w:r>
            <w:r>
              <w:rPr>
                <w:sz w:val="18"/>
              </w:rPr>
              <w:t xml:space="preserve">. Servem para juntar, numa mesma planilha padronizada, vários anos (2020–2024) e outros países (Brasil), e já aparecem como seletores no topo da base. Hoje a base tem um só ano e um só país, então os seletores mostram apenas 2024 e Argentina.</w:t>
            </w:r>
          </w:p>
        </w:tc>
      </w:tr>
      <w:tr>
        <w:tc>
          <w:tcPr/>
          <w:p>
            <w:pPr>
              <w:pStyle w:val="Compact"/>
              <w:spacing w:after="20"/>
              <w:jc w:val="left"/>
            </w:pPr>
            <w:r>
              <w:rPr>
                <w:sz w:val="18"/>
              </w:rPr>
              <w:t xml:space="preserve">Repetidas</w:t>
            </w:r>
          </w:p>
        </w:tc>
        <w:tc>
          <w:tcPr/>
          <w:p>
            <w:pPr>
              <w:pStyle w:val="Compact"/>
              <w:spacing w:after="20"/>
              <w:jc w:val="left"/>
            </w:pPr>
            <w:r>
              <w:rPr>
                <w:sz w:val="18"/>
              </w:rPr>
              <w:t xml:space="preserve">Notícias com</w:t>
            </w:r>
            <w:r>
              <w:rPr>
                <w:sz w:val="18"/>
              </w:rPr>
              <w:t xml:space="preserve"> </w:t>
            </w:r>
            <w:r>
              <w:rPr>
                <w:rStyle w:val="VerbatimChar"/>
                <w:sz w:val="18"/>
              </w:rPr>
              <w:t xml:space="preserve">Status = Repetida</w:t>
            </w:r>
            <w:r>
              <w:rPr>
                <w:sz w:val="18"/>
              </w:rPr>
              <w:t xml:space="preserve"> </w:t>
            </w:r>
            <w:r>
              <w:rPr>
                <w:sz w:val="18"/>
              </w:rPr>
              <w:t xml:space="preserve">(a mesma ação noticiada mais de uma vez) ficam fora por padrão; o usuário pode incluí-las.</w:t>
            </w:r>
          </w:p>
        </w:tc>
      </w:tr>
      <w:tr>
        <w:tc>
          <w:tcPr/>
          <w:p>
            <w:pPr>
              <w:pStyle w:val="Compact"/>
              <w:spacing w:after="20"/>
              <w:jc w:val="left"/>
            </w:pPr>
            <w:r>
              <w:rPr>
                <w:sz w:val="18"/>
              </w:rPr>
              <w:t xml:space="preserve">Sem informação</w:t>
            </w:r>
          </w:p>
        </w:tc>
        <w:tc>
          <w:tcPr/>
          <w:p>
            <w:pPr>
              <w:pStyle w:val="Compact"/>
              <w:spacing w:after="20"/>
              <w:jc w:val="left"/>
            </w:pPr>
            <w:r>
              <w:rPr>
                <w:sz w:val="18"/>
              </w:rPr>
              <w:t xml:space="preserve">Categorias como “No informa (NI)” são mantidas na base, mas excluídas dos rankings, das combinações características e da ACM.</w:t>
            </w:r>
          </w:p>
        </w:tc>
      </w:tr>
    </w:tbl>
    <w:p>
      <w:pPr>
        <w:pStyle w:val="BodyText"/>
      </w:pPr>
      <w:r>
        <w:rPr>
          <w:bCs/>
          <w:b/>
        </w:rPr>
        <w:t xml:space="preserve">Contagem de organizações e veículos.</w:t>
      </w:r>
      <w:r>
        <w:t xml:space="preserve"> </w:t>
      </w:r>
      <w:r>
        <w:t xml:space="preserve">O número varia conforme a regra: 867 nomes distintos incluindo menções genéricas, 822 excluindo “nacional/virtual/não informa” (página inicial). A unificação de nomes duplicados ainda não está completa (ver</w:t>
      </w:r>
      <w:r>
        <w:t xml:space="preserve"> </w:t>
      </w:r>
      <w:hyperlink w:anchor="X3d9f82193e44c2a113d49ff9b97f8db3ae86c66">
        <w:r>
          <w:rPr>
            <w:rStyle w:val="Hyperlink"/>
          </w:rPr>
          <w:t xml:space="preserve">Pendências</w:t>
        </w:r>
      </w:hyperlink>
      <w:r>
        <w:t xml:space="preserve">).</w:t>
      </w:r>
    </w:p>
    <w:p>
      <w:pPr>
        <w:pStyle w:val="BodyText"/>
      </w:pPr>
      <w:r>
        <w:rPr>
          <w:bCs/>
          <w:b/>
        </w:rPr>
        <w:t xml:space="preserve">Saídas:</w:t>
      </w:r>
      <w:r>
        <w:t xml:space="preserve"> </w:t>
      </w:r>
      <w:r>
        <w:rPr>
          <w:rStyle w:val="VerbatimChar"/>
        </w:rPr>
        <w:t xml:space="preserve">dados/base.json</w:t>
      </w:r>
      <w:r>
        <w:t xml:space="preserve"> </w:t>
      </w:r>
      <w:r>
        <w:t xml:space="preserve">(formato compacto do site),</w:t>
      </w:r>
      <w:r>
        <w:t xml:space="preserve"> </w:t>
      </w:r>
      <w:r>
        <w:rPr>
          <w:rStyle w:val="VerbatimChar"/>
        </w:rPr>
        <w:t xml:space="preserve">dados/entrada.json</w:t>
      </w:r>
      <w:r>
        <w:t xml:space="preserve"> </w:t>
      </w:r>
      <w:r>
        <w:t xml:space="preserve">(mapa animado da abertura),</w:t>
      </w:r>
      <w:r>
        <w:t xml:space="preserve"> </w:t>
      </w:r>
      <w:r>
        <w:rPr>
          <w:rStyle w:val="VerbatimChar"/>
        </w:rPr>
        <w:t xml:space="preserve">dados/acoes_2024.csv</w:t>
      </w:r>
      <w:r>
        <w:t xml:space="preserve"> </w:t>
      </w:r>
      <w:r>
        <w:t xml:space="preserve">(uma linha por notícia),</w:t>
      </w:r>
      <w:r>
        <w:t xml:space="preserve"> </w:t>
      </w:r>
      <w:r>
        <w:rPr>
          <w:rStyle w:val="VerbatimChar"/>
        </w:rPr>
        <w:t xml:space="preserve">dados/dicionario.md</w:t>
      </w:r>
      <w:r>
        <w:t xml:space="preserve"> </w:t>
      </w:r>
      <w:r>
        <w:t xml:space="preserve">(variáveis e categorias mais frequentes).</w:t>
      </w:r>
    </w:p>
    <w:p>
      <w:r>
        <w:pict>
          <v:rect style="width:0;height:1.5pt" o:hralign="center" o:hrstd="t" o:hr="t"/>
        </w:pict>
      </w:r>
    </w:p>
    <w:bookmarkEnd w:id="29"/>
    <w:bookmarkStart w:id="31" w:name="Xfedde9b5bea7aaf84fb89824dd9bb669bfc0d5b"/>
    <w:p>
      <w:pPr>
        <w:pStyle w:val="Heading2"/>
      </w:pPr>
      <w:r>
        <w:t xml:space="preserve">5. Espaço: geocodificação e limites</w:t>
      </w:r>
    </w:p>
    <w:p>
      <w:pPr>
        <w:pStyle w:val="FirstParagraph"/>
      </w:pPr>
      <w:r>
        <w:rPr>
          <w:bCs/>
          <w:b/>
        </w:rPr>
        <w:t xml:space="preserve">Geocodificação</w:t>
      </w:r>
      <w:r>
        <w:t xml:space="preserve"> </w:t>
      </w:r>
      <w:r>
        <w:t xml:space="preserve">(</w:t>
      </w:r>
      <w:r>
        <w:rPr>
          <w:rStyle w:val="VerbatimChar"/>
        </w:rPr>
        <w:t xml:space="preserve">pipeline/geocodificar.py</w:t>
      </w:r>
      <w:r>
        <w:t xml:space="preserve">), em ordem de tentativa:</w:t>
      </w:r>
    </w:p>
    <w:p>
      <w:pPr>
        <w:numPr>
          <w:ilvl w:val="0"/>
          <w:numId w:val="1003"/>
        </w:numPr>
        <w:pStyle w:val="Compact"/>
      </w:pPr>
      <w:r>
        <w:t xml:space="preserve">coordenadas conferidas manualmente (</w:t>
      </w:r>
      <w:r>
        <w:rPr>
          <w:rStyle w:val="VerbatimChar"/>
        </w:rPr>
        <w:t xml:space="preserve">referencias/coordenadas_manuais.csv</w:t>
      </w:r>
      <w:r>
        <w:t xml:space="preserve">): 13 localidades;</w:t>
      </w:r>
    </w:p>
    <w:p>
      <w:pPr>
        <w:numPr>
          <w:ilvl w:val="0"/>
          <w:numId w:val="1003"/>
        </w:numPr>
        <w:pStyle w:val="Compact"/>
      </w:pPr>
      <w:r>
        <w:t xml:space="preserve">GeoNames, pelo nome da localidade dentro da mesma província (</w:t>
      </w:r>
      <w:r>
        <w:rPr>
          <w:rStyle w:val="VerbatimChar"/>
        </w:rPr>
        <w:t xml:space="preserve">localidades_geonames_ar.csv</w:t>
      </w:r>
      <w:r>
        <w:t xml:space="preserve">): 111;</w:t>
      </w:r>
    </w:p>
    <w:p>
      <w:pPr>
        <w:numPr>
          <w:ilvl w:val="0"/>
          <w:numId w:val="1003"/>
        </w:numPr>
        <w:pStyle w:val="Compact"/>
      </w:pPr>
      <w:r>
        <w:t xml:space="preserve">centro do departamento informado (</w:t>
      </w:r>
      <w:r>
        <w:rPr>
          <w:rStyle w:val="VerbatimChar"/>
        </w:rPr>
        <w:t xml:space="preserve">departamentos.csv</w:t>
      </w:r>
      <w:r>
        <w:t xml:space="preserve">): 6;</w:t>
      </w:r>
    </w:p>
    <w:p>
      <w:pPr>
        <w:numPr>
          <w:ilvl w:val="0"/>
          <w:numId w:val="1003"/>
        </w:numPr>
        <w:pStyle w:val="Compact"/>
      </w:pPr>
      <w:r>
        <w:t xml:space="preserve">não localizadas (referências só de província, fora da Argentina etc.): 4.</w:t>
      </w:r>
    </w:p>
    <w:p>
      <w:pPr>
        <w:pStyle w:val="FirstParagraph"/>
      </w:pPr>
      <w:r>
        <w:t xml:space="preserve">O relatório completo está em</w:t>
      </w:r>
      <w:r>
        <w:t xml:space="preserve"> </w:t>
      </w:r>
      <w:r>
        <w:rPr>
          <w:rStyle w:val="VerbatimChar"/>
        </w:rPr>
        <w:t xml:space="preserve">dados/relatorio_geocodificacao.csv</w:t>
      </w:r>
      <w:r>
        <w:t xml:space="preserve">.</w:t>
      </w:r>
    </w:p>
    <w:p>
      <w:pPr>
        <w:pStyle w:val="BodyText"/>
      </w:pPr>
      <w:r>
        <w:rPr>
          <w:bCs/>
          <w:b/>
        </w:rPr>
        <w:t xml:space="preserve">Limites</w:t>
      </w:r>
      <w:r>
        <w:t xml:space="preserve"> </w:t>
      </w:r>
      <w:r>
        <w:t xml:space="preserve">(</w:t>
      </w:r>
      <w:r>
        <w:rPr>
          <w:rStyle w:val="VerbatimChar"/>
        </w:rPr>
        <w:t xml:space="preserve">referencias/limites/</w:t>
      </w:r>
      <w:r>
        <w:t xml:space="preserve">): departamentos derivados de</w:t>
      </w:r>
      <w:r>
        <w:t xml:space="preserve"> </w:t>
      </w:r>
      <w:hyperlink r:id="rId30">
        <w:r>
          <w:rPr>
            <w:rStyle w:val="Hyperlink"/>
          </w:rPr>
          <w:t xml:space="preserve">mgaitan/departamentos_argentina</w:t>
        </w:r>
      </w:hyperlink>
      <w:r>
        <w:t xml:space="preserve"> </w:t>
      </w:r>
      <w:r>
        <w:t xml:space="preserve">com o mapshaper (correção dos rótulos trocados de Malvinas e Antártida, recorte do setor antártico, dissolução das comunas da CABA, simplificação de 3%), 512 departamentos/partidos; países vizinhos do Natural Earth 1:50 milhões.</w:t>
      </w:r>
    </w:p>
    <w:p>
      <w:pPr>
        <w:pStyle w:val="BodyText"/>
      </w:pPr>
      <w:r>
        <w:rPr>
          <w:bCs/>
          <w:b/>
        </w:rPr>
        <w:t xml:space="preserve">Topônimos por zoom:</w:t>
      </w:r>
      <w:r>
        <w:t xml:space="preserve"> </w:t>
      </w:r>
      <w:r>
        <w:t xml:space="preserve">877 cidades argentinas com população (GeoNames, CC BY 4.0, via pacote</w:t>
      </w:r>
      <w:r>
        <w:t xml:space="preserve"> </w:t>
      </w:r>
      <w:r>
        <w:rPr>
          <w:rStyle w:val="VerbatimChar"/>
        </w:rPr>
        <w:t xml:space="preserve">all-the-cities</w:t>
      </w:r>
      <w:r>
        <w:t xml:space="preserve">), em</w:t>
      </w:r>
      <w:r>
        <w:t xml:space="preserve"> </w:t>
      </w:r>
      <w:r>
        <w:rPr>
          <w:rStyle w:val="VerbatimChar"/>
        </w:rPr>
        <w:t xml:space="preserve">toponimos_ar.csv</w:t>
      </w:r>
      <w:r>
        <w:t xml:space="preserve">. Capitais sempre visíveis; demais cidades conforme a população e o nível de aproximação.</w:t>
      </w:r>
    </w:p>
    <w:p>
      <w:pPr>
        <w:pStyle w:val="BodyText"/>
      </w:pPr>
      <w:r>
        <w:rPr>
          <w:bCs/>
          <w:b/>
        </w:rPr>
        <w:t xml:space="preserve">Projeção das pranchas:</w:t>
      </w:r>
      <w:r>
        <w:t xml:space="preserve"> </w:t>
      </w:r>
      <w:r>
        <w:t xml:space="preserve">cônica conforme de Lambert (paralelos 28° S e 46° S, meridiano central 64° O), WGS 84. Detalhe da AMBA em Mercator.</w:t>
      </w:r>
    </w:p>
    <w:p>
      <w:pPr>
        <w:pStyle w:val="BodyText"/>
      </w:pPr>
      <w:r>
        <w:rPr>
          <w:bCs/>
          <w:b/>
        </w:rPr>
        <w:t xml:space="preserve">Mapa navegável:</w:t>
      </w:r>
      <w:r>
        <w:t xml:space="preserve"> </w:t>
      </w:r>
      <w:r>
        <w:t xml:space="preserve">Leaflet 1.9.4 com mapa base Esri World Light Gray (base e rótulos) e alternativa OpenStreetMap. O mapa base da CARTO foi abandonado em 18/10/2026 porque passou a exigir chave de acesso.</w:t>
      </w:r>
    </w:p>
    <w:p>
      <w:r>
        <w:pict>
          <v:rect style="width:0;height:1.5pt" o:hralign="center" o:hrstd="t" o:hr="t"/>
        </w:pict>
      </w:r>
    </w:p>
    <w:bookmarkEnd w:id="31"/>
    <w:bookmarkStart w:id="36" w:name="X49567ca4f9361cfb8ea9fa1278932e505983f63"/>
    <w:p>
      <w:pPr>
        <w:pStyle w:val="Heading2"/>
      </w:pPr>
      <w:r>
        <w:t xml:space="preserve">6. Indicadores de contexto</w:t>
      </w:r>
    </w:p>
    <w:p>
      <w:pPr>
        <w:pStyle w:val="FirstParagraph"/>
      </w:pPr>
      <w:r>
        <w:t xml:space="preserve">Arquivos em</w:t>
      </w:r>
      <w:r>
        <w:t xml:space="preserve"> </w:t>
      </w:r>
      <w:r>
        <w:rPr>
          <w:rStyle w:val="VerbatimChar"/>
        </w:rPr>
        <w:t xml:space="preserve">pipeline/referencias/contexto/</w:t>
      </w:r>
      <w:r>
        <w:t xml:space="preserve">; fontes completas em</w:t>
      </w:r>
      <w:r>
        <w:t xml:space="preserve"> </w:t>
      </w:r>
      <w:hyperlink r:id="rId32">
        <w:r>
          <w:rPr>
            <w:rStyle w:val="VerbatimChar"/>
          </w:rPr>
          <w:t xml:space="preserve">FONTES.md</w:t>
        </w:r>
      </w:hyperlink>
      <w:r>
        <w:t xml:space="preserve">. Todos entram no site por</w:t>
      </w:r>
      <w:r>
        <w:t xml:space="preserve"> </w:t>
      </w:r>
      <w:r>
        <w:rPr>
          <w:rStyle w:val="VerbatimChar"/>
        </w:rPr>
        <w:t xml:space="preserve">construir_site.py</w:t>
      </w:r>
      <w:r>
        <w:t xml:space="preserve"> </w:t>
      </w:r>
      <w:r>
        <w:t xml:space="preserve">(</w:t>
      </w:r>
      <w:r>
        <w:rPr>
          <w:rStyle w:val="VerbatimChar"/>
        </w:rPr>
        <w:t xml:space="preserve">contexto()</w:t>
      </w:r>
      <w:r>
        <w:t xml:space="preserve">,</w:t>
      </w:r>
      <w:r>
        <w:t xml:space="preserve"> </w:t>
      </w:r>
      <w:r>
        <w:rPr>
          <w:rStyle w:val="VerbatimChar"/>
        </w:rPr>
        <w:t xml:space="preserve">indec_geoportal()</w:t>
      </w:r>
      <w:r>
        <w:t xml:space="preserve">,</w:t>
      </w:r>
      <w:r>
        <w:t xml:space="preserve"> </w:t>
      </w:r>
      <w:r>
        <w:rPr>
          <w:rStyle w:val="VerbatimChar"/>
        </w:rPr>
        <w:t xml:space="preserve">lutas_departamentos()</w:t>
      </w:r>
      <w:r>
        <w:t xml:space="preserve">,</w:t>
      </w:r>
      <w:r>
        <w:t xml:space="preserve"> </w:t>
      </w:r>
      <w:r>
        <w:rPr>
          <w:rStyle w:val="VerbatimChar"/>
        </w:rPr>
        <w:t xml:space="preserve">lutas_provincias()</w:t>
      </w:r>
      <w:r>
        <w:t xml:space="preserve"> </w:t>
      </w:r>
      <w:r>
        <w:t xml:space="preserve">e</w:t>
      </w:r>
      <w:r>
        <w:t xml:space="preserve"> </w:t>
      </w:r>
      <w:r>
        <w:rPr>
          <w:rStyle w:val="VerbatimChar"/>
        </w:rPr>
        <w:t xml:space="preserve">contexto_site()</w:t>
      </w:r>
      <w:r>
        <w:t xml:space="preserve">).</w:t>
      </w:r>
    </w:p>
    <w:bookmarkStart w:id="33" w:name="Xc758a1a19557ace234b88cc2071e4342ee0cb1f"/>
    <w:p>
      <w:pPr>
        <w:pStyle w:val="Heading3"/>
      </w:pPr>
      <w:r>
        <w:t xml:space="preserve">6.1 Fontes em uso no site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1980"/>
        <w:gridCol w:w="1980"/>
        <w:gridCol w:w="1980"/>
        <w:gridCol w:w="1980"/>
      </w:tblGrid>
      <w:tr>
        <w:trPr>
          <w:tblHeader w:val="true"/>
        </w:trPr>
        <w:tc>
          <w:tcPr>
            <w:shd w:val="clear" w:color="auto" w:fill="EAF3FB"/>
          </w:tcPr>
          <w:p>
            <w:pPr>
              <w:pStyle w:val="Compact"/>
              <w:spacing w:after="20"/>
              <w:jc w:val="left"/>
            </w:pPr>
            <w:r>
              <w:rPr>
                <w:b/>
                <w:sz w:val="18"/>
              </w:rPr>
              <w:t xml:space="preserve">Indicador</w:t>
            </w:r>
          </w:p>
        </w:tc>
        <w:tc>
          <w:tcPr>
            <w:shd w:val="clear" w:color="auto" w:fill="EAF3FB"/>
          </w:tcPr>
          <w:p>
            <w:pPr>
              <w:pStyle w:val="Compact"/>
              <w:spacing w:after="20"/>
              <w:jc w:val="left"/>
            </w:pPr>
            <w:r>
              <w:rPr>
                <w:b/>
                <w:sz w:val="18"/>
              </w:rPr>
              <w:t xml:space="preserve">Recorte</w:t>
            </w:r>
          </w:p>
        </w:tc>
        <w:tc>
          <w:tcPr>
            <w:shd w:val="clear" w:color="auto" w:fill="EAF3FB"/>
          </w:tcPr>
          <w:p>
            <w:pPr>
              <w:pStyle w:val="Compact"/>
              <w:spacing w:after="20"/>
              <w:jc w:val="left"/>
            </w:pPr>
            <w:r>
              <w:rPr>
                <w:b/>
                <w:sz w:val="18"/>
              </w:rPr>
              <w:t xml:space="preserve">Ano</w:t>
            </w:r>
          </w:p>
        </w:tc>
        <w:tc>
          <w:tcPr>
            <w:shd w:val="clear" w:color="auto" w:fill="EAF3FB"/>
          </w:tcPr>
          <w:p>
            <w:pPr>
              <w:pStyle w:val="Compact"/>
              <w:spacing w:after="20"/>
              <w:jc w:val="left"/>
            </w:pPr>
            <w:r>
              <w:rPr>
                <w:b/>
                <w:sz w:val="18"/>
              </w:rPr>
              <w:t xml:space="preserve">Fonte e obtenção</w:t>
            </w:r>
          </w:p>
        </w:tc>
      </w:tr>
      <w:tr>
        <w:tc>
          <w:tcPr/>
          <w:p>
            <w:pPr>
              <w:pStyle w:val="Compact"/>
              <w:spacing w:after="20"/>
              <w:jc w:val="left"/>
            </w:pPr>
            <w:r>
              <w:rPr>
                <w:sz w:val="18"/>
              </w:rPr>
              <w:t xml:space="preserve">População, área e densidade</w:t>
            </w:r>
          </w:p>
        </w:tc>
        <w:tc>
          <w:tcPr/>
          <w:p>
            <w:pPr>
              <w:pStyle w:val="Compact"/>
              <w:spacing w:after="20"/>
              <w:jc w:val="left"/>
            </w:pPr>
            <w:r>
              <w:rPr>
                <w:sz w:val="18"/>
              </w:rPr>
              <w:t xml:space="preserve">24 jurisdições</w:t>
            </w:r>
          </w:p>
        </w:tc>
        <w:tc>
          <w:tcPr/>
          <w:p>
            <w:pPr>
              <w:pStyle w:val="Compact"/>
              <w:spacing w:after="20"/>
              <w:jc w:val="left"/>
            </w:pPr>
            <w:r>
              <w:rPr>
                <w:sz w:val="18"/>
              </w:rPr>
              <w:t xml:space="preserve">2022</w:t>
            </w:r>
          </w:p>
        </w:tc>
        <w:tc>
          <w:tcPr/>
          <w:p>
            <w:pPr>
              <w:pStyle w:val="Compact"/>
              <w:spacing w:after="20"/>
              <w:jc w:val="left"/>
            </w:pPr>
            <w:r>
              <w:rPr>
                <w:sz w:val="18"/>
              </w:rPr>
              <w:t xml:space="preserve">INDEC, Censo 2022, resultados definitivos; área calculada pelo projeto (Albers)</w:t>
            </w:r>
          </w:p>
        </w:tc>
      </w:tr>
      <w:tr>
        <w:tc>
          <w:tcPr/>
          <w:p>
            <w:pPr>
              <w:pStyle w:val="Compact"/>
              <w:spacing w:after="20"/>
              <w:jc w:val="left"/>
            </w:pPr>
            <w:r>
              <w:rPr>
                <w:sz w:val="18"/>
              </w:rPr>
              <w:t xml:space="preserve">15 indicadores do Censo ligados às lutas: privação material (IPMH e tipos), água, esgoto, gás, aluguel, secundário completo, frequência escolar de 15 a 17 anos, jovens que não estudam nem trabalham, desocupação, cobertura de saúde, aposentadoria de mulheres, população indígena; mais a densidade, como referência</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2022</w:t>
            </w:r>
          </w:p>
        </w:tc>
        <w:tc>
          <w:tcPr/>
          <w:p>
            <w:pPr>
              <w:pStyle w:val="Compact"/>
              <w:spacing w:after="20"/>
              <w:jc w:val="left"/>
            </w:pPr>
            <w:r>
              <w:rPr>
                <w:sz w:val="18"/>
              </w:rPr>
              <w:t xml:space="preserve">INDEC, Geoportal estadístico; API</w:t>
            </w:r>
            <w:r>
              <w:rPr>
                <w:sz w:val="18"/>
              </w:rPr>
              <w:t xml:space="preserve"> </w:t>
            </w:r>
            <w:r>
              <w:rPr>
                <w:rStyle w:val="VerbatimChar"/>
                <w:sz w:val="18"/>
              </w:rPr>
              <w:t xml:space="preserve">datosestadisticos.indec.gob.ar/api/v1</w:t>
            </w:r>
            <w:r>
              <w:rPr>
                <w:sz w:val="18"/>
              </w:rPr>
              <w:t xml:space="preserve">, lida em 18/10/2026 pelo navegador (o ambiente de execução não alcança o INDEC). Desocupação calculada como desocupados ÷ (ocupados + desocupados).</w:t>
            </w:r>
          </w:p>
        </w:tc>
      </w:tr>
      <w:tr>
        <w:tc>
          <w:tcPr/>
          <w:p>
            <w:pPr>
              <w:pStyle w:val="Compact"/>
              <w:spacing w:after="20"/>
              <w:jc w:val="left"/>
            </w:pPr>
            <w:r>
              <w:rPr>
                <w:sz w:val="18"/>
              </w:rPr>
              <w:t xml:space="preserve">Pobreza, indigência e desocupação</w:t>
            </w:r>
          </w:p>
        </w:tc>
        <w:tc>
          <w:tcPr/>
          <w:p>
            <w:pPr>
              <w:pStyle w:val="Compact"/>
              <w:spacing w:after="20"/>
              <w:jc w:val="left"/>
            </w:pPr>
            <w:r>
              <w:rPr>
                <w:sz w:val="18"/>
              </w:rPr>
              <w:t xml:space="preserve">6 regiões e 31 aglomerados</w:t>
            </w:r>
          </w:p>
        </w:tc>
        <w:tc>
          <w:tcPr/>
          <w:p>
            <w:pPr>
              <w:pStyle w:val="Compact"/>
              <w:spacing w:after="20"/>
              <w:jc w:val="left"/>
            </w:pPr>
            <w:r>
              <w:rPr>
                <w:sz w:val="18"/>
              </w:rPr>
              <w:t xml:space="preserve">2024</w:t>
            </w:r>
          </w:p>
        </w:tc>
        <w:tc>
          <w:tcPr/>
          <w:p>
            <w:pPr>
              <w:pStyle w:val="Compact"/>
              <w:spacing w:after="20"/>
              <w:jc w:val="left"/>
            </w:pPr>
            <w:r>
              <w:rPr>
                <w:sz w:val="18"/>
              </w:rPr>
              <w:t xml:space="preserve">INDEC, Encuesta Permanente de Hogares (2º semestre e 4º trimestre de 2024)</w:t>
            </w:r>
          </w:p>
        </w:tc>
      </w:tr>
      <w:tr>
        <w:tc>
          <w:tcPr/>
          <w:p>
            <w:pPr>
              <w:pStyle w:val="Compact"/>
              <w:spacing w:after="20"/>
              <w:jc w:val="left"/>
            </w:pPr>
            <w:r>
              <w:rPr>
                <w:sz w:val="18"/>
              </w:rPr>
              <w:t xml:space="preserve">Homicídios dolosos por 100 mil hab.</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Ministério de Segurança, SNIC-SAT</w:t>
            </w:r>
          </w:p>
        </w:tc>
      </w:tr>
      <w:tr>
        <w:tc>
          <w:tcPr/>
          <w:p>
            <w:pPr>
              <w:pStyle w:val="Compact"/>
              <w:spacing w:after="20"/>
              <w:jc w:val="left"/>
            </w:pPr>
            <w:r>
              <w:rPr>
                <w:sz w:val="18"/>
              </w:rPr>
              <w:t xml:space="preserve">Famílias em bairros populares por 1.000 hab. e bairros por 100 mil hab.</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RENABAP, arquivo de 05/12/2023 em datos.gob.ar (6.467 bairros, 1.237.795 famílias), somado por departamento</w:t>
            </w:r>
          </w:p>
        </w:tc>
      </w:tr>
      <w:tr>
        <w:tc>
          <w:tcPr/>
          <w:p>
            <w:pPr>
              <w:pStyle w:val="Compact"/>
              <w:spacing w:after="20"/>
              <w:jc w:val="left"/>
            </w:pPr>
            <w:r>
              <w:rPr>
                <w:sz w:val="18"/>
              </w:rPr>
              <w:t xml:space="preserve">Voto em LLA, UxP, JxC e FIT, % dos votos positivos, 1º turno presidencial</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Dirección Nacional Electoral, resultados provisórios mesa a mesa (</w:t>
            </w:r>
            <w:r>
              <w:rPr>
                <w:rStyle w:val="VerbatimChar"/>
                <w:sz w:val="18"/>
              </w:rPr>
              <w:t xml:space="preserve">2023_generales_1.zip</w:t>
            </w:r>
            <w:r>
              <w:rPr>
                <w:sz w:val="18"/>
              </w:rPr>
              <w:t xml:space="preserve">, 1,08 GB descompactado), somados por seção eleitoral</w:t>
            </w:r>
          </w:p>
        </w:tc>
      </w:tr>
      <w:tr>
        <w:tc>
          <w:tcPr/>
          <w:p>
            <w:pPr>
              <w:pStyle w:val="Compact"/>
              <w:spacing w:after="20"/>
              <w:jc w:val="left"/>
            </w:pPr>
            <w:r>
              <w:rPr>
                <w:sz w:val="18"/>
              </w:rPr>
              <w:t xml:space="preserve">Inscritos no ReNaTEP, % da população de 18 a 65 anos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2023</w:t>
            </w:r>
          </w:p>
        </w:tc>
        <w:tc>
          <w:tcPr/>
          <w:p>
            <w:pPr>
              <w:pStyle w:val="Compact"/>
              <w:spacing w:after="20"/>
              <w:jc w:val="left"/>
            </w:pPr>
            <w:r>
              <w:rPr>
                <w:sz w:val="18"/>
              </w:rPr>
              <w:t xml:space="preserve">Informe</w:t>
            </w:r>
            <w:r>
              <w:rPr>
                <w:sz w:val="18"/>
              </w:rPr>
              <w:t xml:space="preserve"> </w:t>
            </w:r>
            <w:r>
              <w:rPr>
                <w:iCs/>
                <w:i/>
                <w:sz w:val="18"/>
              </w:rPr>
              <w:t xml:space="preserve">Juventudes y Economía Popular en el ReNaTEP</w:t>
            </w:r>
            <w:r>
              <w:rPr>
                <w:sz w:val="18"/>
              </w:rPr>
              <w:t xml:space="preserve">, cuadro 2 (dados de 04/04/2023)</w:t>
            </w:r>
          </w:p>
        </w:tc>
      </w:tr>
      <w:tr>
        <w:tc>
          <w:tcPr/>
          <w:p>
            <w:pPr>
              <w:pStyle w:val="Compact"/>
              <w:spacing w:after="20"/>
              <w:jc w:val="left"/>
            </w:pPr>
            <w:r>
              <w:rPr>
                <w:sz w:val="18"/>
              </w:rPr>
              <w:t xml:space="preserve">Femicídios por 100 mil mulheres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Corte Suprema, Registro Nacional de Femicidios 2024, tabela 6</w:t>
            </w:r>
          </w:p>
        </w:tc>
      </w:tr>
    </w:tbl>
    <w:bookmarkEnd w:id="33"/>
    <w:bookmarkStart w:id="34" w:name="Xd57299b61f3dd2e2d0d10f42117ee47963cf1c1"/>
    <w:p>
      <w:pPr>
        <w:pStyle w:val="Heading3"/>
      </w:pPr>
      <w:r>
        <w:t xml:space="preserve">6.2 Indicadores retirados do site (19/10/2026)</w:t>
      </w:r>
    </w:p>
    <w:p>
      <w:pPr>
        <w:pStyle w:val="FirstParagraph"/>
      </w:pPr>
      <w:r>
        <w:t xml:space="preserve">Por terem pouca ligação direta com as ações coletivas, saíram do site (continuam no CSV de contexto para download): piso revestido, internet, computador, população inativa, crescimento populacional, índice de feminidade, envelhecimento, dependência, filhos por mulher, afrodescendentes, nascidos no exterior, nascidos em outra província e homicídios de 2023 (repetiam a informação de 2024). A densidade e a população ficaram como</w:t>
      </w:r>
      <w:r>
        <w:t xml:space="preserve"> </w:t>
      </w:r>
      <w:r>
        <w:rPr>
          <w:bCs/>
          <w:b/>
        </w:rPr>
        <w:t xml:space="preserve">referência</w:t>
      </w:r>
      <w:r>
        <w:t xml:space="preserve">, para controlar o efeito do tamanho das cidades.</w:t>
      </w:r>
    </w:p>
    <w:bookmarkEnd w:id="34"/>
    <w:bookmarkStart w:id="35" w:name="X698ca334439e34dd2126cc717d2d4b9faa63645"/>
    <w:p>
      <w:pPr>
        <w:pStyle w:val="Heading3"/>
      </w:pPr>
      <w:r>
        <w:t xml:space="preserve">6.3 Compatibilização entre fontes</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Situação</w:t>
            </w:r>
          </w:p>
        </w:tc>
        <w:tc>
          <w:tcPr>
            <w:shd w:val="clear" w:color="auto" w:fill="EAF3FB"/>
          </w:tcPr>
          <w:p>
            <w:pPr>
              <w:pStyle w:val="Compact"/>
              <w:spacing w:after="20"/>
              <w:jc w:val="left"/>
            </w:pPr>
            <w:r>
              <w:rPr>
                <w:b/>
                <w:sz w:val="18"/>
              </w:rPr>
              <w:t xml:space="preserve">Tratamento</w:t>
            </w:r>
          </w:p>
        </w:tc>
      </w:tr>
      <w:tr>
        <w:tc>
          <w:tcPr/>
          <w:p>
            <w:pPr>
              <w:pStyle w:val="Compact"/>
              <w:spacing w:after="20"/>
              <w:jc w:val="left"/>
            </w:pPr>
            <w:r>
              <w:rPr>
                <w:sz w:val="18"/>
              </w:rPr>
              <w:t xml:space="preserve">Comunas da CABA</w:t>
            </w:r>
          </w:p>
        </w:tc>
        <w:tc>
          <w:tcPr/>
          <w:p>
            <w:pPr>
              <w:pStyle w:val="Compact"/>
              <w:spacing w:after="20"/>
              <w:jc w:val="left"/>
            </w:pPr>
            <w:r>
              <w:rPr>
                <w:sz w:val="18"/>
              </w:rPr>
              <w:t xml:space="preserve">A camada de limites tem a cidade inteira: os valores do Censo são os da jurisdição; RENABAP e eleições somam as 15 comunas.</w:t>
            </w:r>
          </w:p>
        </w:tc>
      </w:tr>
      <w:tr>
        <w:tc>
          <w:tcPr/>
          <w:p>
            <w:pPr>
              <w:pStyle w:val="Compact"/>
              <w:spacing w:after="20"/>
              <w:jc w:val="left"/>
            </w:pPr>
            <w:r>
              <w:rPr>
                <w:sz w:val="18"/>
              </w:rPr>
              <w:t xml:space="preserve">Nomes de departamento diferentes</w:t>
            </w:r>
          </w:p>
        </w:tc>
        <w:tc>
          <w:tcPr/>
          <w:p>
            <w:pPr>
              <w:pStyle w:val="Compact"/>
              <w:spacing w:after="20"/>
              <w:jc w:val="left"/>
            </w:pPr>
            <w:r>
              <w:rPr>
                <w:sz w:val="18"/>
              </w:rPr>
              <w:t xml:space="preserve">Casamento por nome normalizado, com apelidos em</w:t>
            </w:r>
            <w:r>
              <w:rPr>
                <w:sz w:val="18"/>
              </w:rPr>
              <w:t xml:space="preserve"> </w:t>
            </w:r>
            <w:r>
              <w:rPr>
                <w:rStyle w:val="VerbatimChar"/>
                <w:sz w:val="18"/>
              </w:rPr>
              <w:t xml:space="preserve">ALIAS_INDEC</w:t>
            </w:r>
            <w:r>
              <w:rPr>
                <w:sz w:val="18"/>
              </w:rPr>
              <w:t xml:space="preserve"> </w:t>
            </w:r>
            <w:r>
              <w:rPr>
                <w:sz w:val="18"/>
              </w:rPr>
              <w:t xml:space="preserve">(Censo) e</w:t>
            </w:r>
            <w:r>
              <w:rPr>
                <w:sz w:val="18"/>
              </w:rPr>
              <w:t xml:space="preserve"> </w:t>
            </w:r>
            <w:r>
              <w:rPr>
                <w:rStyle w:val="VerbatimChar"/>
                <w:sz w:val="18"/>
              </w:rPr>
              <w:t xml:space="preserve">ALIAS_DEP</w:t>
            </w:r>
            <w:r>
              <w:rPr>
                <w:sz w:val="18"/>
              </w:rPr>
              <w:t xml:space="preserve"> </w:t>
            </w:r>
            <w:r>
              <w:rPr>
                <w:sz w:val="18"/>
              </w:rPr>
              <w:t xml:space="preserve">(RENABAP e eleições), por exemplo “Dr. Manuel Belgrano” = “Doctor Manuel Belgrano”, “José M. Ezeiza” = “Ezeiza”, “1º de Mayo” = “1 de Mayo”.</w:t>
            </w:r>
          </w:p>
        </w:tc>
      </w:tr>
      <w:tr>
        <w:tc>
          <w:tcPr/>
          <w:p>
            <w:pPr>
              <w:pStyle w:val="Compact"/>
              <w:spacing w:after="20"/>
              <w:jc w:val="left"/>
            </w:pPr>
            <w:r>
              <w:rPr>
                <w:sz w:val="18"/>
              </w:rPr>
              <w:t xml:space="preserve">Tolhuin (2017) e Lezama (2009)</w:t>
            </w:r>
          </w:p>
        </w:tc>
        <w:tc>
          <w:tcPr/>
          <w:p>
            <w:pPr>
              <w:pStyle w:val="Compact"/>
              <w:spacing w:after="20"/>
              <w:jc w:val="left"/>
            </w:pPr>
            <w:r>
              <w:rPr>
                <w:sz w:val="18"/>
              </w:rPr>
              <w:t xml:space="preserve">Não existem na camada de limites: RENABAP e eleições somam-se aos departamentos de origem (Río Grande e Chascomús); no Censo ficam sem polígono.</w:t>
            </w:r>
          </w:p>
        </w:tc>
      </w:tr>
      <w:tr>
        <w:tc>
          <w:tcPr/>
          <w:p>
            <w:pPr>
              <w:pStyle w:val="Compact"/>
              <w:spacing w:after="20"/>
              <w:jc w:val="left"/>
            </w:pPr>
            <w:r>
              <w:rPr>
                <w:sz w:val="18"/>
              </w:rPr>
              <w:t xml:space="preserve">Seção eleitoral Antártida Argentina</w:t>
            </w:r>
          </w:p>
        </w:tc>
        <w:tc>
          <w:tcPr/>
          <w:p>
            <w:pPr>
              <w:pStyle w:val="Compact"/>
              <w:spacing w:after="20"/>
              <w:jc w:val="left"/>
            </w:pPr>
            <w:r>
              <w:rPr>
                <w:sz w:val="18"/>
              </w:rPr>
              <w:t xml:space="preserve">Fora do mapa.</w:t>
            </w:r>
          </w:p>
        </w:tc>
      </w:tr>
      <w:tr>
        <w:tc>
          <w:tcPr/>
          <w:p>
            <w:pPr>
              <w:pStyle w:val="Compact"/>
              <w:spacing w:after="20"/>
              <w:jc w:val="left"/>
            </w:pPr>
            <w:r>
              <w:rPr>
                <w:sz w:val="18"/>
              </w:rPr>
              <w:t xml:space="preserve">Tierra del Fuego nas eleições</w:t>
            </w:r>
          </w:p>
        </w:tc>
        <w:tc>
          <w:tcPr/>
          <w:p>
            <w:pPr>
              <w:pStyle w:val="Compact"/>
              <w:spacing w:after="20"/>
              <w:jc w:val="left"/>
            </w:pPr>
            <w:r>
              <w:rPr>
                <w:sz w:val="18"/>
              </w:rPr>
              <w:t xml:space="preserve">O nome da província tem vírgula; foi preciso uma leitura do CSV que respeita aspas (corrigido em 19/10/2026).</w:t>
            </w:r>
          </w:p>
        </w:tc>
      </w:tr>
      <w:tr>
        <w:tc>
          <w:tcPr/>
          <w:p>
            <w:pPr>
              <w:pStyle w:val="Compact"/>
              <w:spacing w:after="20"/>
              <w:jc w:val="left"/>
            </w:pPr>
            <w:r>
              <w:rPr>
                <w:sz w:val="18"/>
              </w:rPr>
              <w:t xml:space="preserve">El Cuy (Río Negro) no RENABAP</w:t>
            </w:r>
          </w:p>
        </w:tc>
        <w:tc>
          <w:tcPr/>
          <w:p>
            <w:pPr>
              <w:pStyle w:val="Compact"/>
              <w:spacing w:after="20"/>
              <w:jc w:val="left"/>
            </w:pPr>
            <w:r>
              <w:rPr>
                <w:sz w:val="18"/>
              </w:rPr>
              <w:t xml:space="preserve">7.102 famílias registradas para 6.960 habitantes recenseados (bairros de Las Perlas, junto a Neuquén). Quando as famílias passam de um terço da população, as fontes são tratadas como incompatíveis e o valor fica vazio.</w:t>
            </w:r>
          </w:p>
        </w:tc>
      </w:tr>
      <w:tr>
        <w:tc>
          <w:tcPr/>
          <w:p>
            <w:pPr>
              <w:pStyle w:val="Compact"/>
              <w:spacing w:after="20"/>
              <w:jc w:val="left"/>
            </w:pPr>
            <w:r>
              <w:rPr>
                <w:sz w:val="18"/>
              </w:rPr>
              <w:t xml:space="preserve">2º turno de 2023</w:t>
            </w:r>
          </w:p>
        </w:tc>
        <w:tc>
          <w:tcPr/>
          <w:p>
            <w:pPr>
              <w:pStyle w:val="Compact"/>
              <w:spacing w:after="20"/>
              <w:jc w:val="left"/>
            </w:pPr>
            <w:r>
              <w:rPr>
                <w:sz w:val="18"/>
              </w:rPr>
              <w:t xml:space="preserve">Não está publicado no mesmo formato pela DINE; usa-se o 1º turno.</w:t>
            </w:r>
          </w:p>
        </w:tc>
      </w:tr>
    </w:tbl>
    <w:p>
      <w:r>
        <w:pict>
          <v:rect style="width:0;height:1.5pt" o:hralign="center" o:hrstd="t" o:hr="t"/>
        </w:pict>
      </w:r>
    </w:p>
    <w:bookmarkEnd w:id="35"/>
    <w:bookmarkEnd w:id="36"/>
    <w:bookmarkStart w:id="45" w:name="X6d348273175772d54216bfc7432a22c556cacdc"/>
    <w:p>
      <w:pPr>
        <w:pStyle w:val="Heading2"/>
      </w:pPr>
      <w:r>
        <w:t xml:space="preserve">7. O site: abas, medidas e critérios</w:t>
      </w:r>
    </w:p>
    <w:p>
      <w:pPr>
        <w:pStyle w:val="FirstParagraph"/>
      </w:pPr>
      <w:r>
        <w:t xml:space="preserve">Código em</w:t>
      </w:r>
      <w:r>
        <w:t xml:space="preserve"> </w:t>
      </w:r>
      <w:r>
        <w:rPr>
          <w:rStyle w:val="VerbatimChar"/>
        </w:rPr>
        <w:t xml:space="preserve">assets/js/app/</w:t>
      </w:r>
      <w:r>
        <w:t xml:space="preserve"> </w:t>
      </w:r>
      <w:r>
        <w:t xml:space="preserve">(módulos carregados em ordem por</w:t>
      </w:r>
      <w:r>
        <w:t xml:space="preserve"> </w:t>
      </w:r>
      <w:r>
        <w:rPr>
          <w:rStyle w:val="VerbatimChar"/>
        </w:rPr>
        <w:t xml:space="preserve">carregar.js</w:t>
      </w:r>
      <w:r>
        <w:t xml:space="preserve">). Todas as análises respondem ao</w:t>
      </w:r>
      <w:r>
        <w:t xml:space="preserve"> </w:t>
      </w:r>
      <w:r>
        <w:rPr>
          <w:bCs/>
          <w:b/>
        </w:rPr>
        <w:t xml:space="preserve">recorte</w:t>
      </w:r>
      <w:r>
        <w:t xml:space="preserve">: os filtros escolhidos pelo usuário.</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O que faz</w:t>
            </w:r>
          </w:p>
        </w:tc>
        <w:tc>
          <w:tcPr>
            <w:shd w:val="clear" w:color="auto" w:fill="EAF3FB"/>
          </w:tcPr>
          <w:p>
            <w:pPr>
              <w:pStyle w:val="Compact"/>
              <w:spacing w:after="20"/>
              <w:jc w:val="left"/>
            </w:pPr>
            <w:r>
              <w:rPr>
                <w:b/>
                <w:sz w:val="18"/>
              </w:rPr>
              <w:t xml:space="preserve">Medidas e critérios</w:t>
            </w:r>
          </w:p>
        </w:tc>
      </w:tr>
      <w:tr>
        <w:tc>
          <w:tcPr/>
          <w:p>
            <w:pPr>
              <w:pStyle w:val="Compact"/>
              <w:spacing w:after="20"/>
              <w:jc w:val="left"/>
            </w:pPr>
            <w:r>
              <w:rPr>
                <w:sz w:val="18"/>
              </w:rPr>
              <w:t xml:space="preserve">Síntese</w:t>
            </w:r>
          </w:p>
        </w:tc>
        <w:tc>
          <w:tcPr/>
          <w:p>
            <w:pPr>
              <w:pStyle w:val="Compact"/>
              <w:spacing w:after="20"/>
              <w:jc w:val="left"/>
            </w:pPr>
            <w:r>
              <w:rPr>
                <w:sz w:val="18"/>
              </w:rPr>
              <w:t xml:space="preserve">Leitura em texto do recorte com produtos visuais e “Em síntese”</w:t>
            </w:r>
          </w:p>
        </w:tc>
        <w:tc>
          <w:tcPr/>
          <w:p>
            <w:pPr>
              <w:pStyle w:val="Compact"/>
              <w:spacing w:after="20"/>
              <w:jc w:val="left"/>
            </w:pPr>
            <w:r>
              <w:rPr>
                <w:sz w:val="18"/>
              </w:rPr>
              <w:t xml:space="preserve">Reúne as regras abaixo; 12 sínteses prontas; versão para imprimir</w:t>
            </w:r>
          </w:p>
        </w:tc>
      </w:tr>
      <w:tr>
        <w:tc>
          <w:tcPr/>
          <w:p>
            <w:pPr>
              <w:pStyle w:val="Compact"/>
              <w:spacing w:after="20"/>
              <w:jc w:val="left"/>
            </w:pPr>
            <w:r>
              <w:rPr>
                <w:sz w:val="18"/>
              </w:rPr>
              <w:t xml:space="preserve">Distribuição</w:t>
            </w:r>
          </w:p>
        </w:tc>
        <w:tc>
          <w:tcPr/>
          <w:p>
            <w:pPr>
              <w:pStyle w:val="Compact"/>
              <w:spacing w:after="20"/>
              <w:jc w:val="left"/>
            </w:pPr>
            <w:r>
              <w:rPr>
                <w:sz w:val="18"/>
              </w:rPr>
              <w:t xml:space="preserve">Frequências e cruzamentos</w:t>
            </w:r>
          </w:p>
        </w:tc>
        <w:tc>
          <w:tcPr/>
          <w:p>
            <w:pPr>
              <w:pStyle w:val="Compact"/>
              <w:spacing w:after="20"/>
              <w:jc w:val="left"/>
            </w:pPr>
            <w:r>
              <w:rPr>
                <w:sz w:val="18"/>
              </w:rPr>
              <w:t xml:space="preserve">Contagem, % da linha, % da coluna e</w:t>
            </w:r>
            <w:r>
              <w:rPr>
                <w:sz w:val="18"/>
              </w:rPr>
              <w:t xml:space="preserve"> </w:t>
            </w:r>
            <w:r>
              <w:rPr>
                <w:bCs/>
                <w:b/>
                <w:sz w:val="18"/>
              </w:rPr>
              <w:t xml:space="preserve">associação</w:t>
            </w:r>
            <w:r>
              <w:rPr>
                <w:sz w:val="18"/>
              </w:rPr>
              <w:t xml:space="preserve">: resíduo ajustado de Haberman, (O − E) ÷ √(E × (1 − pᵢ) × (1 − pⱼ)), com E = nᵢ × nⱼ ÷ N; χ² e V de Cramér</w:t>
            </w:r>
          </w:p>
        </w:tc>
      </w:tr>
      <w:tr>
        <w:tc>
          <w:tcPr/>
          <w:p>
            <w:pPr>
              <w:pStyle w:val="Compact"/>
              <w:spacing w:after="20"/>
              <w:jc w:val="left"/>
            </w:pPr>
            <w:r>
              <w:rPr>
                <w:sz w:val="18"/>
              </w:rPr>
              <w:t xml:space="preserve">Comparar</w:t>
            </w:r>
          </w:p>
        </w:tc>
        <w:tc>
          <w:tcPr/>
          <w:p>
            <w:pPr>
              <w:pStyle w:val="Compact"/>
              <w:spacing w:after="20"/>
              <w:jc w:val="left"/>
            </w:pPr>
            <w:r>
              <w:rPr>
                <w:sz w:val="18"/>
              </w:rPr>
              <w:t xml:space="preserve">Dois recortes lado a lado</w:t>
            </w:r>
          </w:p>
        </w:tc>
        <w:tc>
          <w:tcPr/>
          <w:p>
            <w:pPr>
              <w:pStyle w:val="Compact"/>
              <w:spacing w:after="20"/>
              <w:jc w:val="left"/>
            </w:pPr>
            <w:r>
              <w:rPr>
                <w:sz w:val="18"/>
              </w:rPr>
              <w:t xml:space="preserve">Diferença em pontos percentuais; teste z de duas proporções, significativo com |z| ≥ 1,96</w:t>
            </w:r>
          </w:p>
        </w:tc>
      </w:tr>
      <w:tr>
        <w:tc>
          <w:tcPr/>
          <w:p>
            <w:pPr>
              <w:pStyle w:val="Compact"/>
              <w:spacing w:after="20"/>
              <w:jc w:val="left"/>
            </w:pPr>
            <w:r>
              <w:rPr>
                <w:sz w:val="18"/>
              </w:rPr>
              <w:t xml:space="preserve">Fluxos</w:t>
            </w:r>
          </w:p>
        </w:tc>
        <w:tc>
          <w:tcPr/>
          <w:p>
            <w:pPr>
              <w:pStyle w:val="Compact"/>
              <w:spacing w:after="20"/>
              <w:jc w:val="left"/>
            </w:pPr>
            <w:r>
              <w:rPr>
                <w:sz w:val="18"/>
              </w:rPr>
              <w:t xml:space="preserve">Diagrama de Sankey (2 ou 3 etapas)</w:t>
            </w:r>
          </w:p>
        </w:tc>
        <w:tc>
          <w:tcPr/>
          <w:p>
            <w:pPr>
              <w:pStyle w:val="Compact"/>
              <w:spacing w:after="20"/>
              <w:jc w:val="left"/>
            </w:pPr>
            <w:r>
              <w:rPr>
                <w:sz w:val="18"/>
              </w:rPr>
              <w:t xml:space="preserve">Contagem fracionada: notícia com várias categorias reparte o peso</w:t>
            </w:r>
          </w:p>
        </w:tc>
      </w:tr>
      <w:tr>
        <w:tc>
          <w:tcPr/>
          <w:p>
            <w:pPr>
              <w:pStyle w:val="Compact"/>
              <w:spacing w:after="20"/>
              <w:jc w:val="left"/>
            </w:pPr>
            <w:r>
              <w:rPr>
                <w:sz w:val="18"/>
              </w:rPr>
              <w:t xml:space="preserve">Tipologias</w:t>
            </w:r>
          </w:p>
        </w:tc>
        <w:tc>
          <w:tcPr/>
          <w:p>
            <w:pPr>
              <w:pStyle w:val="Compact"/>
              <w:spacing w:after="20"/>
              <w:jc w:val="left"/>
            </w:pPr>
            <w:r>
              <w:rPr>
                <w:sz w:val="18"/>
              </w:rPr>
              <w:t xml:space="preserve">Mapa de árvore</w:t>
            </w:r>
          </w:p>
        </w:tc>
        <w:tc>
          <w:tcPr/>
          <w:p>
            <w:pPr>
              <w:pStyle w:val="Compact"/>
              <w:spacing w:after="20"/>
              <w:jc w:val="left"/>
            </w:pPr>
            <w:r>
              <w:rPr>
                <w:sz w:val="18"/>
              </w:rPr>
              <w:t xml:space="preserve">Área ∝ notícias, contagem fracionada</w:t>
            </w:r>
          </w:p>
        </w:tc>
      </w:tr>
      <w:tr>
        <w:tc>
          <w:tcPr/>
          <w:p>
            <w:pPr>
              <w:pStyle w:val="Compact"/>
              <w:spacing w:after="20"/>
              <w:jc w:val="left"/>
            </w:pPr>
            <w:r>
              <w:rPr>
                <w:sz w:val="18"/>
              </w:rPr>
              <w:t xml:space="preserve">Correspondências</w:t>
            </w:r>
          </w:p>
        </w:tc>
        <w:tc>
          <w:tcPr/>
          <w:p>
            <w:pPr>
              <w:pStyle w:val="Compact"/>
              <w:spacing w:after="20"/>
              <w:jc w:val="left"/>
            </w:pPr>
            <w:r>
              <w:rPr>
                <w:sz w:val="18"/>
              </w:rPr>
              <w:t xml:space="preserve">ACM</w:t>
            </w:r>
          </w:p>
        </w:tc>
        <w:tc>
          <w:tcPr/>
          <w:p>
            <w:pPr>
              <w:pStyle w:val="Compact"/>
              <w:spacing w:after="20"/>
              <w:jc w:val="left"/>
            </w:pPr>
            <w:r>
              <w:rPr>
                <w:sz w:val="18"/>
              </w:rPr>
              <w:t xml:space="preserve">Codificação difusa, autovalores por Jacobi, inércia corrigida de Benzécri, 8 categorias por variável (validada contra numpy: inércia total 5,08; eixos 6,1% e 5,1% brutos, 41,7% e 17,2% corrigidos)</w:t>
            </w:r>
          </w:p>
        </w:tc>
      </w:tr>
      <w:tr>
        <w:tc>
          <w:tcPr/>
          <w:p>
            <w:pPr>
              <w:pStyle w:val="Compact"/>
              <w:spacing w:after="20"/>
              <w:jc w:val="left"/>
            </w:pPr>
            <w:r>
              <w:rPr>
                <w:sz w:val="18"/>
              </w:rPr>
              <w:t xml:space="preserve">Redes</w:t>
            </w:r>
          </w:p>
        </w:tc>
        <w:tc>
          <w:tcPr/>
          <w:p>
            <w:pPr>
              <w:pStyle w:val="Compact"/>
              <w:spacing w:after="20"/>
              <w:jc w:val="left"/>
            </w:pPr>
            <w:r>
              <w:rPr>
                <w:sz w:val="18"/>
              </w:rPr>
              <w:t xml:space="preserve">Coocorrência</w:t>
            </w:r>
          </w:p>
        </w:tc>
        <w:tc>
          <w:tcPr/>
          <w:p>
            <w:pPr>
              <w:pStyle w:val="Compact"/>
              <w:spacing w:after="20"/>
              <w:jc w:val="left"/>
            </w:pPr>
            <w:r>
              <w:rPr>
                <w:sz w:val="18"/>
              </w:rPr>
              <w:t xml:space="preserve">Ligação com 2 ou mais notícias em comum; comunidades de Louvain; intermediação de Brandes; grau e força</w:t>
            </w:r>
          </w:p>
        </w:tc>
      </w:tr>
      <w:tr>
        <w:tc>
          <w:tcPr/>
          <w:p>
            <w:pPr>
              <w:pStyle w:val="Compact"/>
              <w:spacing w:after="20"/>
              <w:jc w:val="left"/>
            </w:pPr>
            <w:r>
              <w:rPr>
                <w:sz w:val="18"/>
              </w:rPr>
              <w:t xml:space="preserve">Mapa</w:t>
            </w:r>
          </w:p>
        </w:tc>
        <w:tc>
          <w:tcPr/>
          <w:p>
            <w:pPr>
              <w:pStyle w:val="Compact"/>
              <w:spacing w:after="20"/>
              <w:jc w:val="left"/>
            </w:pPr>
            <w:r>
              <w:rPr>
                <w:sz w:val="18"/>
              </w:rPr>
              <w:t xml:space="preserve">Pranchas e mapa navegável</w:t>
            </w:r>
          </w:p>
        </w:tc>
        <w:tc>
          <w:tcPr/>
          <w:p>
            <w:pPr>
              <w:pStyle w:val="Compact"/>
              <w:spacing w:after="20"/>
              <w:jc w:val="left"/>
            </w:pPr>
            <w:r>
              <w:rPr>
                <w:sz w:val="18"/>
              </w:rPr>
              <w:t xml:space="preserve">Círculos com área ∝ notícias; taxa = notícias ÷ população × 100.000; classes em quintis;</w:t>
            </w:r>
            <w:r>
              <w:rPr>
                <w:sz w:val="18"/>
              </w:rPr>
              <w:t xml:space="preserve"> </w:t>
            </w:r>
            <w:r>
              <w:rPr>
                <w:bCs/>
                <w:b/>
                <w:sz w:val="18"/>
              </w:rPr>
              <w:t xml:space="preserve">destaques</w:t>
            </w:r>
            <w:r>
              <w:rPr>
                <w:sz w:val="18"/>
              </w:rPr>
              <w:t xml:space="preserve"> </w:t>
            </w:r>
            <w:r>
              <w:rPr>
                <w:sz w:val="18"/>
              </w:rPr>
              <w:t xml:space="preserve">pelo teste exato de Poisson (esperado = total × população do lugar ÷ população total; laranja com p &lt; 0,01 e 3 ou mais notícias; azul com p &lt; 0,01 para poucas);</w:t>
            </w:r>
            <w:r>
              <w:rPr>
                <w:sz w:val="18"/>
              </w:rPr>
              <w:t xml:space="preserve"> </w:t>
            </w:r>
            <w:r>
              <w:rPr>
                <w:bCs/>
                <w:b/>
                <w:sz w:val="18"/>
              </w:rPr>
              <w:t xml:space="preserve">bivariado</w:t>
            </w:r>
            <w:r>
              <w:rPr>
                <w:sz w:val="18"/>
              </w:rPr>
              <w:t xml:space="preserve"> </w:t>
            </w:r>
            <w:r>
              <w:rPr>
                <w:sz w:val="18"/>
              </w:rPr>
              <w:t xml:space="preserve">3 × 3 (notícias: nenhuma / até a mediana / acima; indicador em tercis);</w:t>
            </w:r>
            <w:r>
              <w:rPr>
                <w:sz w:val="18"/>
              </w:rPr>
              <w:t xml:space="preserve"> </w:t>
            </w:r>
            <w:r>
              <w:rPr>
                <w:bCs/>
                <w:b/>
                <w:sz w:val="18"/>
              </w:rPr>
              <w:t xml:space="preserve">LISA</w:t>
            </w:r>
            <w:r>
              <w:rPr>
                <w:sz w:val="18"/>
              </w:rPr>
              <w:t xml:space="preserve"> </w:t>
            </w:r>
            <w:r>
              <w:rPr>
                <w:sz w:val="18"/>
              </w:rPr>
              <w:t xml:space="preserve">(ver 7.1); animação mensal com escala comum</w:t>
            </w:r>
          </w:p>
        </w:tc>
      </w:tr>
      <w:tr>
        <w:tc>
          <w:tcPr/>
          <w:p>
            <w:pPr>
              <w:pStyle w:val="Compact"/>
              <w:spacing w:after="20"/>
              <w:jc w:val="left"/>
            </w:pPr>
            <w:r>
              <w:rPr>
                <w:sz w:val="18"/>
              </w:rPr>
              <w:t xml:space="preserve">Contexto</w:t>
            </w:r>
          </w:p>
        </w:tc>
        <w:tc>
          <w:tcPr/>
          <w:p>
            <w:pPr>
              <w:pStyle w:val="Compact"/>
              <w:spacing w:after="20"/>
              <w:jc w:val="left"/>
            </w:pPr>
            <w:r>
              <w:rPr>
                <w:sz w:val="18"/>
              </w:rPr>
              <w:t xml:space="preserve">Dispersão notícias por habitante × indicador</w:t>
            </w:r>
          </w:p>
        </w:tc>
        <w:tc>
          <w:tcPr/>
          <w:p>
            <w:pPr>
              <w:pStyle w:val="Compact"/>
              <w:spacing w:after="20"/>
              <w:jc w:val="left"/>
            </w:pPr>
            <w:r>
              <w:rPr>
                <w:sz w:val="18"/>
              </w:rPr>
              <w:t xml:space="preserve">Pearson r e Spearman ρ (fraca até ±0,3; moderada até ±0,6; forte acima); reta de mínimos quadrados (log do indicador quando a escala é logarítmica);</w:t>
            </w:r>
            <w:r>
              <w:rPr>
                <w:sz w:val="18"/>
              </w:rPr>
              <w:t xml:space="preserve"> </w:t>
            </w:r>
            <w:r>
              <w:rPr>
                <w:bCs/>
                <w:b/>
                <w:sz w:val="18"/>
              </w:rPr>
              <w:t xml:space="preserve">muito acima/abaixo da tendência</w:t>
            </w:r>
            <w:r>
              <w:rPr>
                <w:sz w:val="18"/>
              </w:rPr>
              <w:t xml:space="preserve"> </w:t>
            </w:r>
            <w:r>
              <w:rPr>
                <w:sz w:val="18"/>
              </w:rPr>
              <w:t xml:space="preserve">quando o resíduo padronizado ≥ +1,5 ou ≤ −1,5; quadrantes pelas medianas</w:t>
            </w:r>
          </w:p>
        </w:tc>
      </w:tr>
      <w:tr>
        <w:tc>
          <w:tcPr/>
          <w:p>
            <w:pPr>
              <w:pStyle w:val="Compact"/>
              <w:spacing w:after="20"/>
              <w:jc w:val="left"/>
            </w:pPr>
            <w:r>
              <w:rPr>
                <w:sz w:val="18"/>
              </w:rPr>
              <w:t xml:space="preserve">No tempo</w:t>
            </w:r>
          </w:p>
        </w:tc>
        <w:tc>
          <w:tcPr/>
          <w:p>
            <w:pPr>
              <w:pStyle w:val="Compact"/>
              <w:spacing w:after="20"/>
              <w:jc w:val="left"/>
            </w:pPr>
            <w:r>
              <w:rPr>
                <w:sz w:val="18"/>
              </w:rPr>
              <w:t xml:space="preserve">Mês, calendário diário e série semanal</w:t>
            </w:r>
          </w:p>
        </w:tc>
        <w:tc>
          <w:tcPr/>
          <w:p>
            <w:pPr>
              <w:pStyle w:val="Compact"/>
              <w:spacing w:after="20"/>
              <w:jc w:val="left"/>
            </w:pPr>
            <w:r>
              <w:rPr>
                <w:sz w:val="18"/>
              </w:rPr>
              <w:t xml:space="preserve">Semana de segunda a domingo;</w:t>
            </w:r>
            <w:r>
              <w:rPr>
                <w:sz w:val="18"/>
              </w:rPr>
              <w:t xml:space="preserve"> </w:t>
            </w:r>
            <w:r>
              <w:rPr>
                <w:bCs/>
                <w:b/>
                <w:sz w:val="18"/>
              </w:rPr>
              <w:t xml:space="preserve">pico</w:t>
            </w:r>
            <w:r>
              <w:rPr>
                <w:sz w:val="18"/>
              </w:rPr>
              <w:t xml:space="preserve"> </w:t>
            </w:r>
            <w:r>
              <w:rPr>
                <w:sz w:val="18"/>
              </w:rPr>
              <w:t xml:space="preserve">acima de Q3 + 1,5 × (Q3 − Q1); 12 acontecimentos de 2024 com fonte (</w:t>
            </w:r>
            <w:r>
              <w:rPr>
                <w:rStyle w:val="VerbatimChar"/>
                <w:sz w:val="18"/>
              </w:rPr>
              <w:t xml:space="preserve">acontecimentos_2024.csv</w:t>
            </w:r>
            <w:r>
              <w:rPr>
                <w:sz w:val="18"/>
              </w:rPr>
              <w:t xml:space="preserve">)</w:t>
            </w:r>
          </w:p>
        </w:tc>
      </w:tr>
      <w:tr>
        <w:tc>
          <w:tcPr/>
          <w:p>
            <w:pPr>
              <w:pStyle w:val="Compact"/>
              <w:spacing w:after="20"/>
              <w:jc w:val="left"/>
            </w:pPr>
            <w:r>
              <w:rPr>
                <w:sz w:val="18"/>
              </w:rPr>
              <w:t xml:space="preserve">Imprensa</w:t>
            </w:r>
          </w:p>
        </w:tc>
        <w:tc>
          <w:tcPr/>
          <w:p>
            <w:pPr>
              <w:pStyle w:val="Compact"/>
              <w:spacing w:after="20"/>
              <w:jc w:val="left"/>
            </w:pPr>
            <w:r>
              <w:rPr>
                <w:sz w:val="18"/>
              </w:rPr>
              <w:t xml:space="preserve">Quem noticia</w:t>
            </w:r>
          </w:p>
        </w:tc>
        <w:tc>
          <w:tcPr/>
          <w:p>
            <w:pPr>
              <w:pStyle w:val="Compact"/>
              <w:spacing w:after="20"/>
              <w:jc w:val="left"/>
            </w:pPr>
            <w:r>
              <w:rPr>
                <w:sz w:val="18"/>
              </w:rPr>
              <w:t xml:space="preserve">Curva de Lorenz, Gini, parcela dos 10 maiores, HHI, veículos × regiões em resíduos ajustados</w:t>
            </w:r>
          </w:p>
        </w:tc>
      </w:tr>
      <w:tr>
        <w:tc>
          <w:tcPr/>
          <w:p>
            <w:pPr>
              <w:pStyle w:val="Compact"/>
              <w:spacing w:after="20"/>
              <w:jc w:val="left"/>
            </w:pPr>
            <w:r>
              <w:rPr>
                <w:sz w:val="18"/>
              </w:rPr>
              <w:t xml:space="preserve">Fichas</w:t>
            </w:r>
          </w:p>
        </w:tc>
        <w:tc>
          <w:tcPr/>
          <w:p>
            <w:pPr>
              <w:pStyle w:val="Compact"/>
              <w:spacing w:after="20"/>
              <w:jc w:val="left"/>
            </w:pPr>
            <w:r>
              <w:rPr>
                <w:sz w:val="18"/>
              </w:rPr>
              <w:t xml:space="preserve">Prancha de uma organização, tipo, lugar ou objetivo</w:t>
            </w:r>
          </w:p>
        </w:tc>
        <w:tc>
          <w:tcPr/>
          <w:p>
            <w:pPr>
              <w:pStyle w:val="Compact"/>
              <w:spacing w:after="20"/>
              <w:jc w:val="left"/>
            </w:pPr>
            <w:r>
              <w:rPr>
                <w:sz w:val="18"/>
              </w:rPr>
              <w:t xml:space="preserve">Perfis em % das notícias da ficha; mapa, detalhe da AMBA, série mensal; exportação PNG/SVG com a fonte Urbanist embutida</w:t>
            </w:r>
          </w:p>
        </w:tc>
      </w:tr>
    </w:tbl>
    <w:bookmarkStart w:id="37" w:name="Xea11f6940d713a04dff187ed0f1eb6d9257881f"/>
    <w:p>
      <w:pPr>
        <w:pStyle w:val="Heading3"/>
      </w:pPr>
      <w:r>
        <w:t xml:space="preserve">7.1 Pontos quentes e frios (LISA)</w:t>
      </w:r>
    </w:p>
    <w:p>
      <w:pPr>
        <w:pStyle w:val="FirstParagraph"/>
      </w:pPr>
      <w:r>
        <w:t xml:space="preserve">I de Moran local (Anselin, 1995), por departamento, calculado no navegador (</w:t>
      </w:r>
      <w:r>
        <w:rPr>
          <w:rStyle w:val="VerbatimChar"/>
        </w:rPr>
        <w:t xml:space="preserve">lisaCalc</w:t>
      </w:r>
      <w:r>
        <w:t xml:space="preserve"> </w:t>
      </w:r>
      <w:r>
        <w:t xml:space="preserve">em</w:t>
      </w:r>
      <w:r>
        <w:t xml:space="preserve"> </w:t>
      </w:r>
      <w:r>
        <w:rPr>
          <w:rStyle w:val="VerbatimChar"/>
        </w:rPr>
        <w:t xml:space="preserve">assets/js/app/mapas.js</w:t>
      </w:r>
      <w:r>
        <w:t xml:space="preserve">):</w:t>
      </w:r>
    </w:p>
    <w:p>
      <w:pPr>
        <w:numPr>
          <w:ilvl w:val="0"/>
          <w:numId w:val="1004"/>
        </w:numPr>
        <w:pStyle w:val="Compact"/>
      </w:pPr>
      <w:r>
        <w:rPr>
          <w:bCs/>
          <w:b/>
        </w:rPr>
        <w:t xml:space="preserve">Taxa bruta</w:t>
      </w:r>
      <w:r>
        <w:t xml:space="preserve"> </w:t>
      </w:r>
      <w:r>
        <w:t xml:space="preserve">de cada um dos 511 departamentos com população: notícias que citam o departamento ÷ população do Censo 2022 × 100.000 (departamentos sem notícias entram com zero).</w:t>
      </w:r>
    </w:p>
    <w:p>
      <w:pPr>
        <w:numPr>
          <w:ilvl w:val="0"/>
          <w:numId w:val="1004"/>
        </w:numPr>
        <w:pStyle w:val="Compact"/>
      </w:pPr>
      <w:r>
        <w:rPr>
          <w:bCs/>
          <w:b/>
        </w:rPr>
        <w:t xml:space="preserve">Taxa bayesiana empírica global</w:t>
      </w:r>
      <w:r>
        <w:t xml:space="preserve"> </w:t>
      </w:r>
      <w:r>
        <w:t xml:space="preserve">(Marshall, 1991): taxa suavizada = m + w × (taxa bruta − m), com m = taxa nacional e w = A ÷ (A + m ÷ população), em que A é a variância entre departamentos descontado o ruído de Poisson. Aproxima da média os departamentos pequenos.</w:t>
      </w:r>
    </w:p>
    <w:p>
      <w:pPr>
        <w:numPr>
          <w:ilvl w:val="0"/>
          <w:numId w:val="1004"/>
        </w:numPr>
        <w:pStyle w:val="Compact"/>
      </w:pPr>
      <w:r>
        <w:rPr>
          <w:bCs/>
          <w:b/>
        </w:rPr>
        <w:t xml:space="preserve">Escore z</w:t>
      </w:r>
      <w:r>
        <w:t xml:space="preserve"> </w:t>
      </w:r>
      <w:r>
        <w:t xml:space="preserve">das taxas suavizadas (média e desvio-padrão dos departamentos).</w:t>
      </w:r>
    </w:p>
    <w:p>
      <w:pPr>
        <w:numPr>
          <w:ilvl w:val="0"/>
          <w:numId w:val="1004"/>
        </w:numPr>
        <w:pStyle w:val="Compact"/>
      </w:pPr>
      <w:r>
        <w:rPr>
          <w:bCs/>
          <w:b/>
        </w:rPr>
        <w:t xml:space="preserve">Vizinhança por contiguidade “rainha”</w:t>
      </w:r>
      <w:r>
        <w:t xml:space="preserve"> </w:t>
      </w:r>
      <w:r>
        <w:t xml:space="preserve">(fronteira ou vértice em comum,</w:t>
      </w:r>
      <w:r>
        <w:t xml:space="preserve"> </w:t>
      </w:r>
      <w:r>
        <w:rPr>
          <w:rStyle w:val="VerbatimChar"/>
        </w:rPr>
        <w:t xml:space="preserve">topojson.neighbors</w:t>
      </w:r>
      <w:r>
        <w:t xml:space="preserve">), pesos padronizados por linha; defasagem espacial = média dos z dos vizinhos. Departamentos sem vizinhos ficam fora.</w:t>
      </w:r>
    </w:p>
    <w:p>
      <w:pPr>
        <w:numPr>
          <w:ilvl w:val="0"/>
          <w:numId w:val="1004"/>
        </w:numPr>
        <w:pStyle w:val="Compact"/>
      </w:pPr>
      <w:r>
        <w:rPr>
          <w:bCs/>
          <w:b/>
        </w:rPr>
        <w:t xml:space="preserve">I local</w:t>
      </w:r>
      <w:r>
        <w:t xml:space="preserve"> </w:t>
      </w:r>
      <w:r>
        <w:t xml:space="preserve">= zᵢ × média dos z vizinhos. Classes pelos sinais: alto-alto (ponto quente), baixo-baixo (ponto frio), alto-baixo, baixo-alto.</w:t>
      </w:r>
    </w:p>
    <w:p>
      <w:pPr>
        <w:numPr>
          <w:ilvl w:val="0"/>
          <w:numId w:val="1004"/>
        </w:numPr>
        <w:pStyle w:val="Compact"/>
      </w:pPr>
      <w:r>
        <w:rPr>
          <w:bCs/>
          <w:b/>
        </w:rPr>
        <w:t xml:space="preserve">Permutação condicional</w:t>
      </w:r>
      <w:r>
        <w:t xml:space="preserve">: zᵢ fixo e k vizinhos sorteados sem reposição entre os demais departamentos, 499 vezes; p = (nº de sorteios tão extremos + 1) ÷ 500; classe pintada só com p &lt; 0,05. Semente fixa (resultado reprodutível).</w:t>
      </w:r>
    </w:p>
    <w:p>
      <w:pPr>
        <w:numPr>
          <w:ilvl w:val="0"/>
          <w:numId w:val="1004"/>
        </w:numPr>
        <w:pStyle w:val="Compact"/>
      </w:pPr>
      <w:r>
        <w:rPr>
          <w:bCs/>
          <w:b/>
        </w:rPr>
        <w:t xml:space="preserve">I de Moran global</w:t>
      </w:r>
      <w:r>
        <w:t xml:space="preserve"> </w:t>
      </w:r>
      <w:r>
        <w:t xml:space="preserve">= Σ zᵢ × defasagemᵢ ÷ Σ zᵢ², com p por 199 permutações das taxas.</w:t>
      </w:r>
    </w:p>
    <w:p>
      <w:pPr>
        <w:pStyle w:val="FirstParagraph"/>
      </w:pPr>
      <w:r>
        <w:t xml:space="preserve">Cuidados registrados no site: cerca de 511 testes simultâneos (uns 26 falsos positivos esperados a 5%, sem correção de múltiplos testes); dependência da vizinhança e dos limites; a taxa mede cobertura da imprensa. No recorte completo (19/10/2026): 14 pontos quentes (sobretudo Patagônia andina e Tierra del Fuego), 55 pontos frios (sobretudo partidos do Gran Buenos Aires sem notícias), I global = 0,183 (p ≈ 0,005).</w:t>
      </w:r>
    </w:p>
    <w:p>
      <w:pPr>
        <w:pStyle w:val="BodyText"/>
      </w:pPr>
      <w:r>
        <w:rPr>
          <w:bCs/>
          <w:b/>
        </w:rPr>
        <w:t xml:space="preserve">Critérios da Síntese:</w:t>
      </w:r>
      <w:r>
        <w:t xml:space="preserve"> </w:t>
      </w:r>
      <w:r>
        <w:t xml:space="preserve">combinações características com resíduo ajustado ≥ +3 (p &lt; 0,003) e 5 ou mais notícias; combinações raras com resíduo ≤ −3; peso populacional por região a partir dos departamentos (separa o GBA do resto da província de Buenos Aires); correlações com Spearman nas 24 províncias, significativas a partir de ±0,41 (p &lt; 0,05), só com indicadores ligados às lutas.</w:t>
      </w:r>
    </w:p>
    <w:p>
      <w:pPr>
        <w:pStyle w:val="BodyText"/>
      </w:pPr>
      <w:r>
        <w:rPr>
          <w:bCs/>
          <w:b/>
        </w:rPr>
        <w:t xml:space="preserve">Recursos de leitura:</w:t>
      </w:r>
      <w:r>
        <w:t xml:space="preserve"> </w:t>
      </w:r>
      <w:r>
        <w:t xml:space="preserve">guia “Como ler” em todas as abas; glossário com 30 termos; 139 combinações prontas, cada uma com leitura em três partes (o que mostra, o que os dados dizem no recorte atual, como foi calculado); quadro “Como foi calculado este mapa”; “Como foi calculado” no Contexto; link que guarda aba, variáveis e filtros no endereço.</w:t>
      </w:r>
    </w:p>
    <w:p>
      <w:pPr>
        <w:pStyle w:val="BodyText"/>
      </w:pPr>
      <w:r>
        <w:rPr>
          <w:bCs/>
          <w:b/>
        </w:rPr>
        <w:t xml:space="preserve">Identidade visual:</w:t>
      </w:r>
      <w:r>
        <w:t xml:space="preserve"> </w:t>
      </w:r>
      <w:r>
        <w:t xml:space="preserve">fundo branco, tipografia Urbanist (hospedada no próprio site, licença OFL); mapas em Arial para exportação estável.</w:t>
      </w:r>
      <w:r>
        <w:t xml:space="preserve"> </w:t>
      </w:r>
      <w:r>
        <w:rPr>
          <w:bCs/>
          <w:b/>
        </w:rPr>
        <w:t xml:space="preserve">Mapa animado da abertura</w:t>
      </w:r>
      <w:r>
        <w:t xml:space="preserve"> </w:t>
      </w:r>
      <w:r>
        <w:t xml:space="preserve">(página inicial e base, desde 30/10/2026; substituiu a ilustração da marcha): a Argentina é preenchida, dia a dia, por um ponto para cada ação noticiada (notícias únicas, na localidade citada, na data de início da ação ou, na falta dela, na de publicação), em cerca de 8 segundos, e depois fica parada; o contador mostra o mês e o número de ações. Na página inicial, a partir de 760 px de largura, o mapa ocupa todo o cabeçalho, inclusive atrás da navegação: a altura do mapa acompanha a do cabeçalho (a Argentina vai de logo abaixo do menu até o pé) e o quadro é deslocado para a Argentina começar logo depois do texto, com o Pacífico atrás do título e o Atlântico à direita. No celular, o recorte da Argentina vai de uma borda à outra, abaixo do texto, sobre o mesmo fundo celeste. Na base interativa, o mapa fica numa moldura ao lado do título. Pontos do mesmo lugar se espalham em espiral, e por isso as cidades com muitas ações viram manchas. Começa quando o mapa aparece na tela, tem o botão “Ver de novo” e, com “reduzir movimento” ativado no sistema, aparece direto no estado final. Dados em</w:t>
      </w:r>
      <w:r>
        <w:t xml:space="preserve"> </w:t>
      </w:r>
      <w:r>
        <w:rPr>
          <w:rStyle w:val="VerbatimChar"/>
        </w:rPr>
        <w:t xml:space="preserve">dados/entrada.json</w:t>
      </w:r>
      <w:r>
        <w:t xml:space="preserve"> </w:t>
      </w:r>
      <w:r>
        <w:t xml:space="preserve">(gerado por</w:t>
      </w:r>
      <w:r>
        <w:t xml:space="preserve"> </w:t>
      </w:r>
      <w:r>
        <w:rPr>
          <w:rStyle w:val="VerbatimChar"/>
        </w:rPr>
        <w:t xml:space="preserve">escrever_entrada</w:t>
      </w:r>
      <w:r>
        <w:t xml:space="preserve"> </w:t>
      </w:r>
      <w:r>
        <w:t xml:space="preserve">em</w:t>
      </w:r>
      <w:r>
        <w:t xml:space="preserve"> </w:t>
      </w:r>
      <w:r>
        <w:rPr>
          <w:rStyle w:val="VerbatimChar"/>
        </w:rPr>
        <w:t xml:space="preserve">pipeline/construir_site.py</w:t>
      </w:r>
      <w:r>
        <w:t xml:space="preserve">: contorno das províncias na projeção cônica conforme de Lambert do site, simplificado, e os pontos já projetados, 835 pontos em 122 localidades, 35 KB); desenho em</w:t>
      </w:r>
      <w:r>
        <w:t xml:space="preserve"> </w:t>
      </w:r>
      <w:r>
        <w:rPr>
          <w:rStyle w:val="VerbatimChar"/>
        </w:rPr>
        <w:t xml:space="preserve">assets/js/mapa-entrada.js</w:t>
      </w:r>
      <w:r>
        <w:t xml:space="preserve">, sem bibliotecas, e estilo em</w:t>
      </w:r>
      <w:r>
        <w:t xml:space="preserve"> </w:t>
      </w:r>
      <w:r>
        <w:rPr>
          <w:rStyle w:val="VerbatimChar"/>
        </w:rPr>
        <w:t xml:space="preserve">assets/css/mapa-entrada.css</w:t>
      </w:r>
      <w:r>
        <w:t xml:space="preserve">. O código da marcha (</w:t>
      </w:r>
      <w:r>
        <w:rPr>
          <w:rStyle w:val="VerbatimChar"/>
        </w:rPr>
        <w:t xml:space="preserve">assets/js/marcha.js</w:t>
      </w:r>
      <w:r>
        <w:t xml:space="preserve">) continua no repositório, sem uso. Visual do mapa (ajuste de 30/10/2026): a Argentina aparece entre os países vizinhos (Chile, Bolívia, Paraguai, Uruguai e Brasil, de</w:t>
      </w:r>
      <w:r>
        <w:t xml:space="preserve"> </w:t>
      </w:r>
      <w:r>
        <w:rPr>
          <w:rStyle w:val="VerbatimChar"/>
        </w:rPr>
        <w:t xml:space="preserve">paises_vizinhos.topo.json</w:t>
      </w:r>
      <w:r>
        <w:t xml:space="preserve">, recortados numa moldura) e os oceanos, com nomes; fundo do país em branco quente, mar em celeste, vizinhos em bege, divisas provinciais mais fortes e contorno do país em azul; bandeira argentina com o Sol de Maio no Atlântico Sul.</w:t>
      </w:r>
    </w:p>
    <w:bookmarkEnd w:id="37"/>
    <w:bookmarkStart w:id="38" w:name="X6462eb4f94f59a5ac833c9718ffe94916519a9f"/>
    <w:p>
      <w:pPr>
        <w:pStyle w:val="Heading3"/>
      </w:pPr>
      <w:r>
        <w:t xml:space="preserve">7.2 Seletores de ano e país e busca nas notícias</w:t>
      </w:r>
    </w:p>
    <w:p>
      <w:pPr>
        <w:numPr>
          <w:ilvl w:val="0"/>
          <w:numId w:val="1005"/>
        </w:numPr>
        <w:pStyle w:val="Compact"/>
      </w:pPr>
      <w:r>
        <w:t xml:space="preserve">No topo da base, ao lado da variável e do cruzamento, há</w:t>
      </w:r>
      <w:r>
        <w:t xml:space="preserve"> </w:t>
      </w:r>
      <w:r>
        <w:rPr>
          <w:bCs/>
          <w:b/>
        </w:rPr>
        <w:t xml:space="preserve">seletores de ano e de país</w:t>
      </w:r>
      <w:r>
        <w:t xml:space="preserve"> </w:t>
      </w:r>
      <w:r>
        <w:t xml:space="preserve">(</w:t>
      </w:r>
      <w:r>
        <w:rPr>
          <w:rStyle w:val="VerbatimChar"/>
        </w:rPr>
        <w:t xml:space="preserve">fAno</w:t>
      </w:r>
      <w:r>
        <w:t xml:space="preserve">,</w:t>
      </w:r>
      <w:r>
        <w:t xml:space="preserve"> </w:t>
      </w:r>
      <w:r>
        <w:rPr>
          <w:rStyle w:val="VerbatimChar"/>
        </w:rPr>
        <w:t xml:space="preserve">fPais</w:t>
      </w:r>
      <w:r>
        <w:t xml:space="preserve">), que filtram todas as abas, e um</w:t>
      </w:r>
      <w:r>
        <w:t xml:space="preserve"> </w:t>
      </w:r>
      <w:r>
        <w:rPr>
          <w:bCs/>
          <w:b/>
        </w:rPr>
        <w:t xml:space="preserve">campo de busca</w:t>
      </w:r>
      <w:r>
        <w:t xml:space="preserve"> </w:t>
      </w:r>
      <w:r>
        <w:t xml:space="preserve">(</w:t>
      </w:r>
      <w:r>
        <w:rPr>
          <w:rStyle w:val="VerbatimChar"/>
        </w:rPr>
        <w:t xml:space="preserve">qTop</w:t>
      </w:r>
      <w:r>
        <w:t xml:space="preserve">) sempre visível.</w:t>
      </w:r>
    </w:p>
    <w:p>
      <w:pPr>
        <w:numPr>
          <w:ilvl w:val="0"/>
          <w:numId w:val="1005"/>
        </w:numPr>
        <w:pStyle w:val="Compact"/>
      </w:pPr>
      <w:r>
        <w:t xml:space="preserve">A busca procura a palavra no título, na fonte e no código da notícia, sem diferenciar maiúsculas nem acentos. Ela</w:t>
      </w:r>
      <w:r>
        <w:t xml:space="preserve"> </w:t>
      </w:r>
      <w:r>
        <w:rPr>
          <w:bCs/>
          <w:b/>
        </w:rPr>
        <w:t xml:space="preserve">filtra todas as abas</w:t>
      </w:r>
      <w:r>
        <w:t xml:space="preserve"> </w:t>
      </w:r>
      <w:r>
        <w:t xml:space="preserve">(antes valia só para a lista de notícias), aparece como etiqueta “Palavra: …” nos filtros, entra no texto do recorte das pranchas e fica guardada no link (</w:t>
      </w:r>
      <w:r>
        <w:rPr>
          <w:rStyle w:val="VerbatimChar"/>
        </w:rPr>
        <w:t xml:space="preserve">q=</w:t>
      </w:r>
      <w:r>
        <w:t xml:space="preserve">). O botão “Ver notícias” leva à lista do recorte.</w:t>
      </w:r>
    </w:p>
    <w:bookmarkEnd w:id="38"/>
    <w:bookmarkStart w:id="39" w:name="X4031718f82c58153f462ccdd941a59e04038a6e"/>
    <w:p>
      <w:pPr>
        <w:pStyle w:val="Heading3"/>
      </w:pPr>
      <w:r>
        <w:t xml:space="preserve">7.3 Página “Sobre e metodologia”</w:t>
      </w:r>
    </w:p>
    <w:p>
      <w:pPr>
        <w:pStyle w:val="FirstParagraph"/>
      </w:pPr>
      <w:r>
        <w:rPr>
          <w:rStyle w:val="VerbatimChar"/>
        </w:rPr>
        <w:t xml:space="preserve">sobre/index.html</w:t>
      </w:r>
      <w:r>
        <w:t xml:space="preserve"> </w:t>
      </w:r>
      <w:r>
        <w:t xml:space="preserve">(estilo em</w:t>
      </w:r>
      <w:r>
        <w:t xml:space="preserve"> </w:t>
      </w:r>
      <w:r>
        <w:rPr>
          <w:rStyle w:val="VerbatimChar"/>
        </w:rPr>
        <w:t xml:space="preserve">assets/css/sobre.css</w:t>
      </w:r>
      <w:r>
        <w:t xml:space="preserve">): o que é a base, como foi construída (codificação, anonimização, padronização, georreferenciação, indicadores, publicação), variáveis por dimensão, fontes oficiais, como os números são calculados, ferramentas, limites, licença e citação. Ligada no menu da página inicial e da base.</w:t>
      </w:r>
    </w:p>
    <w:bookmarkEnd w:id="39"/>
    <w:bookmarkStart w:id="40" w:name="X2610cc037de1195ebb8ec8ba0118b692a0f7803"/>
    <w:p>
      <w:pPr>
        <w:pStyle w:val="Heading3"/>
      </w:pPr>
      <w:r>
        <w:t xml:space="preserve">7.5 Recursos acrescentados em 30/10/2026 (sem mudar a estrutura da base)</w:t>
      </w:r>
    </w:p>
    <w:p>
      <w:pPr>
        <w:pStyle w:val="FirstParagraph"/>
      </w:pPr>
      <w:r>
        <w:t xml:space="preserve">Todos entram como módulos ou páginas novas; abas, cálculos, combinações prontas e endereços antigos continuam iguais.</w:t>
      </w:r>
    </w:p>
    <w:p>
      <w:pPr>
        <w:numPr>
          <w:ilvl w:val="0"/>
          <w:numId w:val="1006"/>
        </w:numPr>
        <w:pStyle w:val="Compact"/>
      </w:pPr>
      <w:r>
        <w:rPr>
          <w:bCs/>
          <w:b/>
        </w:rPr>
        <w:t xml:space="preserve">Ficha de cada notícia</w:t>
      </w:r>
      <w:r>
        <w:t xml:space="preserve"> </w:t>
      </w:r>
      <w:r>
        <w:t xml:space="preserve">(</w:t>
      </w:r>
      <w:r>
        <w:rPr>
          <w:rStyle w:val="VerbatimChar"/>
        </w:rPr>
        <w:t xml:space="preserve">assets/js/app/ficha-noticia.js</w:t>
      </w:r>
      <w:r>
        <w:t xml:space="preserve">). Cada linha da lista de notícias ganha um botão “Ficha”, que abre um painel com tudo o que foi codificado (agrupado como na planilha), datas, veículo, link da notícia original, um mapa pequeno com as localidades citadas e até 5</w:t>
      </w:r>
      <w:r>
        <w:t xml:space="preserve"> </w:t>
      </w:r>
      <w:r>
        <w:rPr>
          <w:bCs/>
          <w:b/>
        </w:rPr>
        <w:t xml:space="preserve">notícias parecidas</w:t>
      </w:r>
      <w:r>
        <w:t xml:space="preserve">. Parecidas = soma de categorias em comum, com pesos: organização 3, tipo de movimento 2, objetivos 2, localidade 2, ação matriz 1, ação derivada 1, província 1; entram as que somam 3 ou mais; empate desfeito pela data mais próxima. A ficha tem</w:t>
      </w:r>
      <w:r>
        <w:t xml:space="preserve"> </w:t>
      </w:r>
      <w:r>
        <w:rPr>
          <w:bCs/>
          <w:b/>
        </w:rPr>
        <w:t xml:space="preserve">link próprio</w:t>
      </w:r>
      <w:r>
        <w:t xml:space="preserve"> </w:t>
      </w:r>
      <w:r>
        <w:t xml:space="preserve">(</w:t>
      </w:r>
      <w:r>
        <w:rPr>
          <w:rStyle w:val="VerbatimChar"/>
        </w:rPr>
        <w:t xml:space="preserve">base/#…&amp;noticia=CÓDIGO</w:t>
      </w:r>
      <w:r>
        <w:t xml:space="preserve">), que abre a base já com ela.</w:t>
      </w:r>
    </w:p>
    <w:p>
      <w:pPr>
        <w:numPr>
          <w:ilvl w:val="0"/>
          <w:numId w:val="1006"/>
        </w:numPr>
        <w:pStyle w:val="Compact"/>
      </w:pPr>
      <w:r>
        <w:rPr>
          <w:bCs/>
          <w:b/>
        </w:rPr>
        <w:t xml:space="preserve">Correção colaborativa.</w:t>
      </w:r>
      <w:r>
        <w:t xml:space="preserve"> </w:t>
      </w:r>
      <w:r>
        <w:t xml:space="preserve">Seção “Contribua com a base” na página inicial (três opções: apontar um erro, sugerir notícia que faltou, incluir uma produção, com os passos), link “Contribuir” no menu de todas as páginas, quadro “Encontrou um erro ou falta alguma notícia?” acima da lista de notícias da base e botão “Sugerir uma correção” em destaque em cada ficha. Ambos abrem um formulário do GitHub (</w:t>
      </w:r>
      <w:r>
        <w:rPr>
          <w:rStyle w:val="VerbatimChar"/>
        </w:rPr>
        <w:t xml:space="preserve">.github/ISSUE_TEMPLATE/correcao.yml</w:t>
      </w:r>
      <w:r>
        <w:t xml:space="preserve">) com o código e o título da notícia já preenchidos; é preciso ter conta no GitHub. A equipe revisa antes de mudar a planilha.</w:t>
      </w:r>
    </w:p>
    <w:p>
      <w:pPr>
        <w:numPr>
          <w:ilvl w:val="0"/>
          <w:numId w:val="1006"/>
        </w:numPr>
        <w:pStyle w:val="Compact"/>
      </w:pPr>
      <w:r>
        <w:rPr>
          <w:bCs/>
          <w:b/>
        </w:rPr>
        <w:t xml:space="preserve">Data de atualização dos dados</w:t>
      </w:r>
      <w:r>
        <w:t xml:space="preserve"> </w:t>
      </w:r>
      <w:r>
        <w:t xml:space="preserve">na página inicial, na base e na página Sobre (</w:t>
      </w:r>
      <w:r>
        <w:rPr>
          <w:rStyle w:val="VerbatimChar"/>
        </w:rPr>
        <w:t xml:space="preserve">assets/js/atualizado.js</w:t>
      </w:r>
      <w:r>
        <w:t xml:space="preserve">). Vem do campo</w:t>
      </w:r>
      <w:r>
        <w:t xml:space="preserve"> </w:t>
      </w:r>
      <w:r>
        <w:rPr>
          <w:rStyle w:val="VerbatimChar"/>
        </w:rPr>
        <w:t xml:space="preserve">atualizado</w:t>
      </w:r>
      <w:r>
        <w:t xml:space="preserve"> </w:t>
      </w:r>
      <w:r>
        <w:t xml:space="preserve">de</w:t>
      </w:r>
      <w:r>
        <w:t xml:space="preserve"> </w:t>
      </w:r>
      <w:r>
        <w:rPr>
          <w:rStyle w:val="VerbatimChar"/>
        </w:rPr>
        <w:t xml:space="preserve">dados/resumo.json</w:t>
      </w:r>
      <w:r>
        <w:t xml:space="preserve">, que o pipeline preenche com a data do último commit que alterou a planilha publicável (</w:t>
      </w:r>
      <w:r>
        <w:rPr>
          <w:rStyle w:val="VerbatimChar"/>
        </w:rPr>
        <w:t xml:space="preserve">dados/fonte/acoes_2024_fonte.csv</w:t>
      </w:r>
      <w:r>
        <w:t xml:space="preserve">); o GitHub Actions passou a baixar o histórico completo (</w:t>
      </w:r>
      <w:r>
        <w:rPr>
          <w:rStyle w:val="VerbatimChar"/>
        </w:rPr>
        <w:t xml:space="preserve">fetch-depth: 0</w:t>
      </w:r>
      <w:r>
        <w:t xml:space="preserve">) para isso.</w:t>
      </w:r>
    </w:p>
    <w:p>
      <w:pPr>
        <w:numPr>
          <w:ilvl w:val="0"/>
          <w:numId w:val="1006"/>
        </w:numPr>
        <w:pStyle w:val="Compact"/>
      </w:pPr>
      <w:r>
        <w:rPr>
          <w:bCs/>
          <w:b/>
        </w:rPr>
        <w:t xml:space="preserve">Galeria “Perguntas para começar”</w:t>
      </w:r>
      <w:r>
        <w:t xml:space="preserve"> </w:t>
      </w:r>
      <w:r>
        <w:t xml:space="preserve">na página inicial: 8 cartões (o de bairros populares saiu em 30/10/2026) com pergunta, texto curto e miniatura (</w:t>
      </w:r>
      <w:r>
        <w:rPr>
          <w:rStyle w:val="VerbatimChar"/>
        </w:rPr>
        <w:t xml:space="preserve">assets/img/galeria/</w:t>
      </w:r>
      <w:r>
        <w:t xml:space="preserve">, geradas por captura da própria base). Cada cartão abre a base numa combinação pronta pelo parâmetro novo</w:t>
      </w:r>
      <w:r>
        <w:t xml:space="preserve"> </w:t>
      </w:r>
      <w:r>
        <w:rPr>
          <w:rStyle w:val="VerbatimChar"/>
        </w:rPr>
        <w:t xml:space="preserve">pronto=ABA:N</w:t>
      </w:r>
      <w:r>
        <w:t xml:space="preserve"> </w:t>
      </w:r>
      <w:r>
        <w:t xml:space="preserve">(</w:t>
      </w:r>
      <w:r>
        <w:rPr>
          <w:rStyle w:val="VerbatimChar"/>
        </w:rPr>
        <w:t xml:space="preserve">assets/js/app/abrir-pronto.js</w:t>
      </w:r>
      <w:r>
        <w:t xml:space="preserve">; N = posição do botão na aba, contando de 0).</w:t>
      </w:r>
      <w:r>
        <w:t xml:space="preserve"> </w:t>
      </w:r>
      <w:r>
        <w:rPr>
          <w:bCs/>
          <w:b/>
        </w:rPr>
        <w:t xml:space="preserve">Atenção:</w:t>
      </w:r>
      <w:r>
        <w:t xml:space="preserve"> </w:t>
      </w:r>
      <w:r>
        <w:t xml:space="preserve">se a ordem das combinações prontas de uma aba mudar, os links da galeria precisam ser revistos.</w:t>
      </w:r>
    </w:p>
    <w:p>
      <w:pPr>
        <w:numPr>
          <w:ilvl w:val="0"/>
          <w:numId w:val="1006"/>
        </w:numPr>
        <w:pStyle w:val="Compact"/>
      </w:pPr>
      <w:r>
        <w:rPr>
          <w:bCs/>
          <w:b/>
        </w:rPr>
        <w:t xml:space="preserve">Página “Produções”</w:t>
      </w:r>
      <w:r>
        <w:t xml:space="preserve"> </w:t>
      </w:r>
      <w:r>
        <w:t xml:space="preserve">(</w:t>
      </w:r>
      <w:r>
        <w:rPr>
          <w:rStyle w:val="VerbatimChar"/>
        </w:rPr>
        <w:t xml:space="preserve">/producoes/</w:t>
      </w:r>
      <w:r>
        <w:t xml:space="preserve">): artigos, apresentações e outros produtos feitos com a base, agrupados por ano, com busca e filtro por tipo. A lista vem de</w:t>
      </w:r>
      <w:r>
        <w:t xml:space="preserve"> </w:t>
      </w:r>
      <w:r>
        <w:rPr>
          <w:rStyle w:val="VerbatimChar"/>
        </w:rPr>
        <w:t xml:space="preserve">dados/producoes.csv</w:t>
      </w:r>
      <w:r>
        <w:t xml:space="preserve"> </w:t>
      </w:r>
      <w:r>
        <w:t xml:space="preserve">(colunas ano, tipo, titulo, autores, onde, link, resumo, resumo_es), editável no GitHub ou no Excel; sugestões pelo formulário</w:t>
      </w:r>
      <w:r>
        <w:t xml:space="preserve"> </w:t>
      </w:r>
      <w:r>
        <w:rPr>
          <w:rStyle w:val="VerbatimChar"/>
        </w:rPr>
        <w:t xml:space="preserve">.github/ISSUE_TEMPLATE/producao.yml</w:t>
      </w:r>
      <w:r>
        <w:t xml:space="preserve">. Ligada no menu de todas as páginas.</w:t>
      </w:r>
    </w:p>
    <w:p>
      <w:pPr>
        <w:numPr>
          <w:ilvl w:val="0"/>
          <w:numId w:val="1006"/>
        </w:numPr>
        <w:pStyle w:val="Compact"/>
      </w:pPr>
      <w:r>
        <w:t xml:space="preserve">A ferramenta da versão em espanhol passou a manter os links entre páginas dentro de</w:t>
      </w:r>
      <w:r>
        <w:t xml:space="preserve"> </w:t>
      </w:r>
      <w:r>
        <w:rPr>
          <w:rStyle w:val="VerbatimChar"/>
        </w:rPr>
        <w:t xml:space="preserve">es/</w:t>
      </w:r>
      <w:r>
        <w:t xml:space="preserve"> </w:t>
      </w:r>
      <w:r>
        <w:t xml:space="preserve">(antes, links da página inicial em espanhol levavam à base em português) e a gerar também</w:t>
      </w:r>
      <w:r>
        <w:t xml:space="preserve"> </w:t>
      </w:r>
      <w:r>
        <w:rPr>
          <w:rStyle w:val="VerbatimChar"/>
        </w:rPr>
        <w:t xml:space="preserve">es/producoes/</w:t>
      </w:r>
      <w:r>
        <w:t xml:space="preserve">.</w:t>
      </w:r>
    </w:p>
    <w:bookmarkEnd w:id="40"/>
    <w:bookmarkStart w:id="41" w:name="X87cbc21c56cd505f2e821bf26f426d977204cc4"/>
    <w:p>
      <w:pPr>
        <w:pStyle w:val="Heading3"/>
      </w:pPr>
      <w:r>
        <w:t xml:space="preserve">7.6 Novas leituras (30/10/2026, sem mudar o que já existia)</w:t>
      </w:r>
    </w:p>
    <w:p>
      <w:pPr>
        <w:pStyle w:val="FirstParagraph"/>
      </w:pPr>
      <w:r>
        <w:t xml:space="preserve">Painéis acrescentados ao fim de algumas abas, marcados com o selo “Nova leitura”, cada um com leitura automática, tabela de dados e “Como foi calculado”. Ficam em módulos próprios (</w:t>
      </w:r>
      <w:r>
        <w:rPr>
          <w:rStyle w:val="VerbatimChar"/>
        </w:rPr>
        <w:t xml:space="preserve">assets/js/app/nl-*.js</w:t>
      </w:r>
      <w:r>
        <w:t xml:space="preserve">), desenhados depois do</w:t>
      </w:r>
      <w:r>
        <w:t xml:space="preserve"> </w:t>
      </w:r>
      <w:r>
        <w:rPr>
          <w:rStyle w:val="VerbatimChar"/>
        </w:rPr>
        <w:t xml:space="preserve">render()</w:t>
      </w:r>
      <w:r>
        <w:t xml:space="preserve"> </w:t>
      </w:r>
      <w:r>
        <w:t xml:space="preserve">original e só quando a aba está aberta; um erro num painel novo não interrompe a base. Cores dos gráficos novos: paleta Okabe-Ito (segura para daltonismo) e escala divergente azul–laranja.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Painel</w:t>
            </w:r>
          </w:p>
        </w:tc>
        <w:tc>
          <w:tcPr>
            <w:shd w:val="clear" w:color="auto" w:fill="EAF3FB"/>
          </w:tcPr>
          <w:p>
            <w:pPr>
              <w:pStyle w:val="Compact"/>
              <w:spacing w:after="20"/>
              <w:jc w:val="left"/>
            </w:pPr>
            <w:r>
              <w:rPr>
                <w:b/>
                <w:sz w:val="18"/>
              </w:rPr>
              <w:t xml:space="preserve">Método</w:t>
            </w:r>
          </w:p>
        </w:tc>
      </w:tr>
      <w:tr>
        <w:tc>
          <w:tcPr/>
          <w:p>
            <w:pPr>
              <w:pStyle w:val="Compact"/>
              <w:spacing w:after="20"/>
              <w:jc w:val="left"/>
            </w:pPr>
            <w:r>
              <w:rPr>
                <w:sz w:val="18"/>
              </w:rPr>
              <w:t xml:space="preserve">Contexto</w:t>
            </w:r>
          </w:p>
        </w:tc>
        <w:tc>
          <w:tcPr/>
          <w:p>
            <w:pPr>
              <w:pStyle w:val="Compact"/>
              <w:spacing w:after="20"/>
              <w:jc w:val="left"/>
            </w:pPr>
            <w:r>
              <w:rPr>
                <w:bCs/>
                <w:b/>
                <w:sz w:val="18"/>
              </w:rPr>
              <w:t xml:space="preserve">Funil</w:t>
            </w:r>
            <w:r>
              <w:rPr>
                <w:sz w:val="18"/>
              </w:rPr>
              <w:t xml:space="preserve"> </w:t>
            </w:r>
            <w:r>
              <w:rPr>
                <w:sz w:val="18"/>
              </w:rPr>
              <w:t xml:space="preserve">das taxas por província ou departamento</w:t>
            </w:r>
          </w:p>
        </w:tc>
        <w:tc>
          <w:tcPr/>
          <w:p>
            <w:pPr>
              <w:pStyle w:val="Compact"/>
              <w:spacing w:after="20"/>
              <w:jc w:val="left"/>
            </w:pPr>
            <w:r>
              <w:rPr>
                <w:sz w:val="18"/>
              </w:rPr>
              <w:t xml:space="preserve">Taxa = notícias ÷ população × 100.000; média do país = soma das notícias ÷ soma da população; limites de 95% e 99,8% pelos quantis de Poisson do esperado (média × população), interpolados (Spiegelhalter, 2005); em departamentos entram os 511, inclusive os sem notícias; eixo vertical em raiz quadrada.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Mapa de pontos por categoria</w:t>
            </w:r>
          </w:p>
        </w:tc>
        <w:tc>
          <w:tcPr/>
          <w:p>
            <w:pPr>
              <w:pStyle w:val="Compact"/>
              <w:spacing w:after="20"/>
              <w:jc w:val="left"/>
            </w:pPr>
            <w:r>
              <w:rPr>
                <w:sz w:val="18"/>
              </w:rPr>
              <w:t xml:space="preserve">Um ponto por notícia × localidade, colorido pela categoria principal (entre as 7 mais frequentes) da variável escolhida; espiral de girassol por lugar; detalhe da AMBA; composição por região; clique abre a ficha da notícia.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Cartograma de províncias</w:t>
            </w:r>
          </w:p>
        </w:tc>
        <w:tc>
          <w:tcPr/>
          <w:p>
            <w:pPr>
              <w:pStyle w:val="Compact"/>
              <w:spacing w:after="20"/>
              <w:jc w:val="left"/>
            </w:pPr>
            <w:r>
              <w:rPr>
                <w:sz w:val="18"/>
              </w:rPr>
              <w:t xml:space="preserve">Dorling: círculo com área ∝ população (Censo 2022), posição inicial no centro da província, afastamento por simulação de forças com colisão; cor = taxa em quintis.</w:t>
            </w:r>
          </w:p>
        </w:tc>
      </w:tr>
      <w:tr>
        <w:tc>
          <w:tcPr/>
          <w:p>
            <w:pPr>
              <w:pStyle w:val="Compact"/>
              <w:spacing w:after="20"/>
              <w:jc w:val="left"/>
            </w:pPr>
            <w:r>
              <w:rPr>
                <w:sz w:val="18"/>
              </w:rPr>
              <w:t xml:space="preserve">Distribuição</w:t>
            </w:r>
          </w:p>
        </w:tc>
        <w:tc>
          <w:tcPr/>
          <w:p>
            <w:pPr>
              <w:pStyle w:val="Compact"/>
              <w:spacing w:after="20"/>
              <w:jc w:val="left"/>
            </w:pPr>
            <w:r>
              <w:rPr>
                <w:bCs/>
                <w:b/>
                <w:sz w:val="18"/>
              </w:rPr>
              <w:t xml:space="preserve">Mapa de calor reordenado</w:t>
            </w:r>
          </w:p>
        </w:tc>
        <w:tc>
          <w:tcPr/>
          <w:p>
            <w:pPr>
              <w:pStyle w:val="Compact"/>
              <w:spacing w:after="20"/>
              <w:jc w:val="left"/>
            </w:pPr>
            <w:r>
              <w:rPr>
                <w:sz w:val="18"/>
              </w:rPr>
              <w:t xml:space="preserve">Resíduos ajustados de Haberman das 16 categorias mais frequentes de cada variável; linhas e colunas ordenadas pela coordenada no 1º eixo de uma análise de correspondências simples (iteração de potência). Aparece quando “Cruzar com” está escolhido.</w:t>
            </w:r>
          </w:p>
        </w:tc>
      </w:tr>
      <w:tr>
        <w:tc>
          <w:tcPr/>
          <w:p>
            <w:pPr>
              <w:pStyle w:val="Compact"/>
              <w:spacing w:after="20"/>
              <w:jc w:val="left"/>
            </w:pPr>
            <w:r>
              <w:rPr>
                <w:sz w:val="18"/>
              </w:rPr>
              <w:t xml:space="preserve">Fichas</w:t>
            </w:r>
          </w:p>
        </w:tc>
        <w:tc>
          <w:tcPr/>
          <w:p>
            <w:pPr>
              <w:pStyle w:val="Compact"/>
              <w:spacing w:after="20"/>
              <w:jc w:val="left"/>
            </w:pPr>
            <w:r>
              <w:rPr>
                <w:bCs/>
                <w:b/>
                <w:sz w:val="18"/>
              </w:rPr>
              <w:t xml:space="preserve">Perfil comparado</w:t>
            </w:r>
          </w:p>
        </w:tc>
        <w:tc>
          <w:tcPr/>
          <w:p>
            <w:pPr>
              <w:pStyle w:val="Compact"/>
              <w:spacing w:after="20"/>
              <w:jc w:val="left"/>
            </w:pPr>
            <w:r>
              <w:rPr>
                <w:sz w:val="18"/>
              </w:rPr>
              <w:t xml:space="preserve">Para 6 variáveis centrais, % na ficha × % nas demais notícias da base; diferença em p.p.; cor forte com teste z de duas proporções significativo a 5%.</w:t>
            </w:r>
          </w:p>
        </w:tc>
      </w:tr>
      <w:tr>
        <w:tc>
          <w:tcPr/>
          <w:p>
            <w:pPr>
              <w:pStyle w:val="Compact"/>
              <w:spacing w:after="20"/>
              <w:jc w:val="left"/>
            </w:pPr>
            <w:r>
              <w:rPr>
                <w:sz w:val="18"/>
              </w:rPr>
              <w:t xml:space="preserve">No tempo</w:t>
            </w:r>
          </w:p>
        </w:tc>
        <w:tc>
          <w:tcPr/>
          <w:p>
            <w:pPr>
              <w:pStyle w:val="Compact"/>
              <w:spacing w:after="20"/>
              <w:jc w:val="left"/>
            </w:pPr>
            <w:r>
              <w:rPr>
                <w:bCs/>
                <w:b/>
                <w:sz w:val="18"/>
              </w:rPr>
              <w:t xml:space="preserve">Linha do tempo de notícias</w:t>
            </w:r>
          </w:p>
        </w:tc>
        <w:tc>
          <w:tcPr/>
          <w:p>
            <w:pPr>
              <w:pStyle w:val="Compact"/>
              <w:spacing w:after="20"/>
              <w:jc w:val="left"/>
            </w:pPr>
            <w:r>
              <w:rPr>
                <w:sz w:val="18"/>
              </w:rPr>
              <w:t xml:space="preserve">Cada notícia é um ponto na semana de início (segunda a domingo), empilhado em colunas de três e colorido pela categoria; acontecimentos de 2024 marcados; clique abre a ficha.</w:t>
            </w:r>
          </w:p>
        </w:tc>
      </w:tr>
      <w:tr>
        <w:tc>
          <w:tcPr/>
          <w:p>
            <w:pPr>
              <w:pStyle w:val="Compact"/>
              <w:spacing w:after="20"/>
              <w:jc w:val="left"/>
            </w:pPr>
            <w:r>
              <w:rPr>
                <w:sz w:val="18"/>
              </w:rPr>
              <w:t xml:space="preserve">Comparar</w:t>
            </w:r>
          </w:p>
        </w:tc>
        <w:tc>
          <w:tcPr/>
          <w:p>
            <w:pPr>
              <w:pStyle w:val="Compact"/>
              <w:spacing w:after="20"/>
              <w:jc w:val="left"/>
            </w:pPr>
            <w:r>
              <w:rPr>
                <w:bCs/>
                <w:b/>
                <w:sz w:val="18"/>
              </w:rPr>
              <w:t xml:space="preserve">Margem de erro</w:t>
            </w:r>
          </w:p>
        </w:tc>
        <w:tc>
          <w:tcPr/>
          <w:p>
            <w:pPr>
              <w:pStyle w:val="Compact"/>
              <w:spacing w:after="20"/>
              <w:jc w:val="left"/>
            </w:pPr>
            <w:r>
              <w:rPr>
                <w:sz w:val="18"/>
              </w:rPr>
              <w:t xml:space="preserve">Diferença A − B por categoria com intervalo de 95% = d ± 1,96 × erro-padrão combinado (o mesmo do teste z do gráfico de halteres; o intervalo cruza o zero exatamente quando a diferença não é significativa).</w:t>
            </w:r>
          </w:p>
        </w:tc>
      </w:tr>
    </w:tbl>
    <w:bookmarkEnd w:id="41"/>
    <w:bookmarkStart w:id="42" w:name="Xaba42bc22919c532accda37303b9a4f75cfa1fe"/>
    <w:p>
      <w:pPr>
        <w:pStyle w:val="Heading3"/>
      </w:pPr>
      <w:r>
        <w:t xml:space="preserve">7.7 História guiada de 2024 (</w:t>
      </w:r>
      <w:r>
        <w:rPr>
          <w:rStyle w:val="VerbatimChar"/>
        </w:rPr>
        <w:t xml:space="preserve">/historia/</w:t>
      </w:r>
      <w:r>
        <w:t xml:space="preserve">)</w:t>
      </w:r>
    </w:p>
    <w:p>
      <w:pPr>
        <w:pStyle w:val="FirstParagraph"/>
      </w:pPr>
      <w:r>
        <w:t xml:space="preserve">Página com rolagem: à esquerda, oito passos de texto (abertura; janeiro; março; abril; maio–junho; setembro–outubro; novembro–dezembro; o ano inteiro); à direita, fixos, o mapa da Argentina (os mesmos dados de</w:t>
      </w:r>
      <w:r>
        <w:t xml:space="preserve"> </w:t>
      </w:r>
      <w:r>
        <w:rPr>
          <w:rStyle w:val="VerbatimChar"/>
        </w:rPr>
        <w:t xml:space="preserve">dados/entrada.json</w:t>
      </w:r>
      <w:r>
        <w:t xml:space="preserve">) e a série semanal. Ao chegar a cada passo, acendem as ações do período (laranja), as anteriores ficam em segundo plano e a série marca o período. A contagem de cada passo (ações no mapa = notícia × localidade) é calculada no navegador. As datas dos acontecimentos vêm de</w:t>
      </w:r>
      <w:r>
        <w:t xml:space="preserve"> </w:t>
      </w:r>
      <w:r>
        <w:rPr>
          <w:rStyle w:val="VerbatimChar"/>
        </w:rPr>
        <w:t xml:space="preserve">pipeline/referencias/acontecimentos_2024.csv</w:t>
      </w:r>
      <w:r>
        <w:t xml:space="preserve">. Ligada na página inicial (botão “A história de 2024”).</w:t>
      </w:r>
    </w:p>
    <w:bookmarkEnd w:id="42"/>
    <w:bookmarkStart w:id="43" w:name="X61f474c0ce6c1ea8d466d064e3ea0c880d051ef"/>
    <w:p>
      <w:pPr>
        <w:pStyle w:val="Heading3"/>
      </w:pPr>
      <w:r>
        <w:t xml:space="preserve">7.8 Atalhos, downloads e citação (</w:t>
      </w:r>
      <w:r>
        <w:rPr>
          <w:rStyle w:val="VerbatimChar"/>
        </w:rPr>
        <w:t xml:space="preserve">assets/js/app/uso.js</w:t>
      </w:r>
      <w:r>
        <w:t xml:space="preserve">)</w:t>
      </w:r>
    </w:p>
    <w:p>
      <w:pPr>
        <w:pStyle w:val="FirstParagraph"/>
      </w:pPr>
      <w:r>
        <w:t xml:space="preserve">Acrescentados depois do</w:t>
      </w:r>
      <w:r>
        <w:t xml:space="preserve"> </w:t>
      </w:r>
      <w:r>
        <w:rPr>
          <w:rStyle w:val="VerbatimChar"/>
        </w:rPr>
        <w:t xml:space="preserve">render()</w:t>
      </w:r>
      <w:r>
        <w:t xml:space="preserve"> </w:t>
      </w:r>
      <w:r>
        <w:t xml:space="preserve">original, sem mudar abas, cálculos ou endereços:</w:t>
      </w:r>
    </w:p>
    <w:p>
      <w:pPr>
        <w:numPr>
          <w:ilvl w:val="0"/>
          <w:numId w:val="1007"/>
        </w:numPr>
        <w:pStyle w:val="Compact"/>
      </w:pPr>
      <w:r>
        <w:rPr>
          <w:bCs/>
          <w:b/>
        </w:rPr>
        <w:t xml:space="preserve">Atalhos no topo de cada aba:</w:t>
      </w:r>
      <w:r>
        <w:t xml:space="preserve"> </w:t>
      </w:r>
      <w:r>
        <w:t xml:space="preserve">uma faixa logo abaixo do título da aba com links para as novas leituras que ficam no fim dela (por exemplo, “Funil ↓” em Contexto), o botão “Baixar recorte (CSV)” (o mesmo da lista de notícias) e “Como citar”. Motivo: o responsável não encontrou o funil, que fica no fim de uma aba longa.</w:t>
      </w:r>
    </w:p>
    <w:p>
      <w:pPr>
        <w:numPr>
          <w:ilvl w:val="0"/>
          <w:numId w:val="1007"/>
        </w:numPr>
        <w:pStyle w:val="Compact"/>
      </w:pPr>
      <w:r>
        <w:rPr>
          <w:bCs/>
          <w:b/>
        </w:rPr>
        <w:t xml:space="preserve">Baixar PNG e SVG embaixo de cada gráfico:</w:t>
      </w:r>
      <w:r>
        <w:t xml:space="preserve"> </w:t>
      </w:r>
      <w:r>
        <w:t xml:space="preserve">a imagem leva o título do gráfico, o recorte ativo (filtros, busca e número de notícias) e a linha “Fonte: DATALUTA Argentina 2024 (CC BY 4.0)” com o endereço do site. Os estilos são copiados do navegador para dentro do SVG e a fonte Urbanist vai embutida, para que a imagem fique igual em qualquer computador. Ficam de fora os gráficos pequenos lado a lado (para não quebrar a grade), o mapa principal e as fichas, que já tinham seus próprios botões, e os gráficos feitos em HTML, como as barras da Distribuição.</w:t>
      </w:r>
    </w:p>
    <w:p>
      <w:pPr>
        <w:numPr>
          <w:ilvl w:val="0"/>
          <w:numId w:val="1007"/>
        </w:numPr>
        <w:pStyle w:val="Compact"/>
      </w:pPr>
      <w:r>
        <w:rPr>
          <w:bCs/>
          <w:b/>
        </w:rPr>
        <w:t xml:space="preserve">Baixar tabela (CSV)</w:t>
      </w:r>
      <w:r>
        <w:t xml:space="preserve"> </w:t>
      </w:r>
      <w:r>
        <w:t xml:space="preserve">dentro de “Ver os dados em tabela” de cada nova leitura, com o recorte e a fonte nas últimas linhas.</w:t>
      </w:r>
    </w:p>
    <w:p>
      <w:pPr>
        <w:numPr>
          <w:ilvl w:val="0"/>
          <w:numId w:val="1007"/>
        </w:numPr>
        <w:pStyle w:val="Compact"/>
      </w:pPr>
      <w:r>
        <w:rPr>
          <w:bCs/>
          <w:b/>
        </w:rPr>
        <w:t xml:space="preserve">Como citar:</w:t>
      </w:r>
      <w:r>
        <w:t xml:space="preserve"> </w:t>
      </w:r>
      <w:r>
        <w:t xml:space="preserve">janela com as referências em ABNT (com data de acesso do dia), APA e BibTeX e botão de copiar; os mesmos formatos na seção “Licença e citação” da página Sobre. No repositório,</w:t>
      </w:r>
      <w:r>
        <w:t xml:space="preserve"> </w:t>
      </w:r>
      <w:r>
        <w:rPr>
          <w:rStyle w:val="VerbatimChar"/>
        </w:rPr>
        <w:t xml:space="preserve">CITATION.cff</w:t>
      </w:r>
      <w:r>
        <w:t xml:space="preserve"> </w:t>
      </w:r>
      <w:r>
        <w:t xml:space="preserve">(botão “Cite this repository” do GitHub) e</w:t>
      </w:r>
      <w:r>
        <w:t xml:space="preserve"> </w:t>
      </w:r>
      <w:r>
        <w:rPr>
          <w:rStyle w:val="VerbatimChar"/>
        </w:rPr>
        <w:t xml:space="preserve">.zenodo.json</w:t>
      </w:r>
      <w:r>
        <w:t xml:space="preserve"> </w:t>
      </w:r>
      <w:r>
        <w:t xml:space="preserve">(metadados para o arquivamento no Zenodo, que gera o DOI).</w:t>
      </w:r>
    </w:p>
    <w:bookmarkEnd w:id="43"/>
    <w:bookmarkStart w:id="44" w:name="Xe2536c815164416847d5f5b617d6e05abe31b59"/>
    <w:p>
      <w:pPr>
        <w:pStyle w:val="Heading3"/>
      </w:pPr>
      <w:r>
        <w:t xml:space="preserve">7.4 Versão em espanhol</w:t>
      </w:r>
    </w:p>
    <w:p>
      <w:pPr>
        <w:numPr>
          <w:ilvl w:val="0"/>
          <w:numId w:val="1008"/>
        </w:numPr>
        <w:pStyle w:val="Compact"/>
      </w:pPr>
      <w:r>
        <w:t xml:space="preserve">Endereços:</w:t>
      </w:r>
      <w:r>
        <w:t xml:space="preserve"> </w:t>
      </w:r>
      <w:r>
        <w:rPr>
          <w:rStyle w:val="VerbatimChar"/>
        </w:rPr>
        <w:t xml:space="preserve">/es/</w:t>
      </w:r>
      <w:r>
        <w:t xml:space="preserve">,</w:t>
      </w:r>
      <w:r>
        <w:t xml:space="preserve"> </w:t>
      </w:r>
      <w:r>
        <w:rPr>
          <w:rStyle w:val="VerbatimChar"/>
        </w:rPr>
        <w:t xml:space="preserve">/es/base/</w:t>
      </w:r>
      <w:r>
        <w:t xml:space="preserve"> </w:t>
      </w:r>
      <w:r>
        <w:t xml:space="preserve">e</w:t>
      </w:r>
      <w:r>
        <w:t xml:space="preserve"> </w:t>
      </w:r>
      <w:r>
        <w:rPr>
          <w:rStyle w:val="VerbatimChar"/>
        </w:rPr>
        <w:t xml:space="preserve">/es/sobre/</w:t>
      </w:r>
      <w:r>
        <w:t xml:space="preserve">; o link “Español”/“Português” no menu troca de idioma (na base, mantendo aba e filtros).</w:t>
      </w:r>
    </w:p>
    <w:p>
      <w:pPr>
        <w:numPr>
          <w:ilvl w:val="0"/>
          <w:numId w:val="1008"/>
        </w:numPr>
        <w:pStyle w:val="Compact"/>
      </w:pPr>
      <w:r>
        <w:rPr>
          <w:bCs/>
          <w:b/>
        </w:rPr>
        <w:t xml:space="preserve">Como é gerada.</w:t>
      </w:r>
      <w:r>
        <w:t xml:space="preserve"> </w:t>
      </w:r>
      <w:r>
        <w:t xml:space="preserve">O português continua sendo o original.</w:t>
      </w:r>
      <w:r>
        <w:t xml:space="preserve"> </w:t>
      </w:r>
      <w:r>
        <w:rPr>
          <w:rStyle w:val="VerbatimChar"/>
        </w:rPr>
        <w:t xml:space="preserve">i18n/ferramenta.js</w:t>
      </w:r>
      <w:r>
        <w:t xml:space="preserve"> </w:t>
      </w:r>
      <w:r>
        <w:t xml:space="preserve">(Node) lê o JavaScript com o analisador do TypeScript e as páginas HTML, encontra cada trecho de texto e o troca pela tradução do catálogo</w:t>
      </w:r>
      <w:r>
        <w:t xml:space="preserve"> </w:t>
      </w:r>
      <w:r>
        <w:rPr>
          <w:rStyle w:val="VerbatimChar"/>
        </w:rPr>
        <w:t xml:space="preserve">i18n/es.json</w:t>
      </w:r>
      <w:r>
        <w:t xml:space="preserve"> </w:t>
      </w:r>
      <w:r>
        <w:t xml:space="preserve">(pares “texto em português” → “texto em espanhol”, cerca de 1.800). Palavras curtas que em outros arquivos são chaves internas (meses abreviados, “forte”, “baixo”…) são traduzidas só no arquivo certo, por</w:t>
      </w:r>
      <w:r>
        <w:t xml:space="preserve"> </w:t>
      </w:r>
      <w:r>
        <w:rPr>
          <w:rStyle w:val="VerbatimChar"/>
        </w:rPr>
        <w:t xml:space="preserve">i18n/es-contexto.json</w:t>
      </w:r>
      <w:r>
        <w:t xml:space="preserve">. Textos que são iguais nas duas línguas ou não devem ser traduzidos (nomes de organizações, seletores CSS, definições do INDEC já em espanhol) ficam em</w:t>
      </w:r>
      <w:r>
        <w:t xml:space="preserve"> </w:t>
      </w:r>
      <w:r>
        <w:rPr>
          <w:rStyle w:val="VerbatimChar"/>
        </w:rPr>
        <w:t xml:space="preserve">i18n/ignorar.json</w:t>
      </w:r>
      <w:r>
        <w:t xml:space="preserve">.</w:t>
      </w:r>
    </w:p>
    <w:p>
      <w:pPr>
        <w:numPr>
          <w:ilvl w:val="0"/>
          <w:numId w:val="1008"/>
        </w:numPr>
        <w:pStyle w:val="Compact"/>
      </w:pPr>
      <w:r>
        <w:t xml:space="preserve">Saídas geradas (não editar à mão):</w:t>
      </w:r>
      <w:r>
        <w:t xml:space="preserve"> </w:t>
      </w:r>
      <w:r>
        <w:rPr>
          <w:rStyle w:val="VerbatimChar"/>
        </w:rPr>
        <w:t xml:space="preserve">es/index.html</w:t>
      </w:r>
      <w:r>
        <w:t xml:space="preserve">,</w:t>
      </w:r>
      <w:r>
        <w:t xml:space="preserve"> </w:t>
      </w:r>
      <w:r>
        <w:rPr>
          <w:rStyle w:val="VerbatimChar"/>
        </w:rPr>
        <w:t xml:space="preserve">es/base/index.html</w:t>
      </w:r>
      <w:r>
        <w:t xml:space="preserve">,</w:t>
      </w:r>
      <w:r>
        <w:t xml:space="preserve"> </w:t>
      </w:r>
      <w:r>
        <w:rPr>
          <w:rStyle w:val="VerbatimChar"/>
        </w:rPr>
        <w:t xml:space="preserve">es/sobre/index.html</w:t>
      </w:r>
      <w:r>
        <w:t xml:space="preserve"> </w:t>
      </w:r>
      <w:r>
        <w:t xml:space="preserve">e</w:t>
      </w:r>
      <w:r>
        <w:t xml:space="preserve"> </w:t>
      </w:r>
      <w:r>
        <w:rPr>
          <w:rStyle w:val="VerbatimChar"/>
        </w:rPr>
        <w:t xml:space="preserve">assets/js/app-es/*.js</w:t>
      </w:r>
      <w:r>
        <w:t xml:space="preserve">. Rótulos que vêm dos dados (nomes das variáveis, meses, indicadores, acontecimentos) são traduzidos no navegador, logo depois de carregar os JSON (</w:t>
      </w:r>
      <w:r>
        <w:rPr>
          <w:rStyle w:val="VerbatimChar"/>
        </w:rPr>
        <w:t xml:space="preserve">TR_DADOS</w:t>
      </w:r>
      <w:r>
        <w:t xml:space="preserve"> </w:t>
      </w:r>
      <w:r>
        <w:t xml:space="preserve">em</w:t>
      </w:r>
      <w:r>
        <w:t xml:space="preserve"> </w:t>
      </w:r>
      <w:r>
        <w:rPr>
          <w:rStyle w:val="VerbatimChar"/>
        </w:rPr>
        <w:t xml:space="preserve">assets/js/app-es/carregar.js</w:t>
      </w:r>
      <w:r>
        <w:t xml:space="preserve">). Datas e números usam o formato</w:t>
      </w:r>
      <w:r>
        <w:t xml:space="preserve"> </w:t>
      </w:r>
      <w:r>
        <w:rPr>
          <w:rStyle w:val="VerbatimChar"/>
        </w:rPr>
        <w:t xml:space="preserve">es-AR</w:t>
      </w:r>
      <w:r>
        <w:t xml:space="preserve">.</w:t>
      </w:r>
    </w:p>
    <w:p>
      <w:pPr>
        <w:numPr>
          <w:ilvl w:val="0"/>
          <w:numId w:val="1008"/>
        </w:numPr>
        <w:pStyle w:val="Compact"/>
      </w:pPr>
      <w:r>
        <w:t xml:space="preserve">O GitHub Actions gera a versão em espanhol a cada publicação.</w:t>
      </w:r>
      <w:r>
        <w:t xml:space="preserve"> </w:t>
      </w:r>
      <w:r>
        <w:rPr>
          <w:bCs/>
          <w:b/>
        </w:rPr>
        <w:t xml:space="preserve">Ao mudar um texto em português</w:t>
      </w:r>
      <w:r>
        <w:t xml:space="preserve">, rode</w:t>
      </w:r>
      <w:r>
        <w:t xml:space="preserve"> </w:t>
      </w:r>
      <w:r>
        <w:rPr>
          <w:rStyle w:val="VerbatimChar"/>
        </w:rPr>
        <w:t xml:space="preserve">node i18n/ferramenta.js gerar</w:t>
      </w:r>
      <w:r>
        <w:t xml:space="preserve">: o que ficar sem tradução aparece em</w:t>
      </w:r>
      <w:r>
        <w:t xml:space="preserve"> </w:t>
      </w:r>
      <w:r>
        <w:rPr>
          <w:rStyle w:val="VerbatimChar"/>
        </w:rPr>
        <w:t xml:space="preserve">i18n/pendentes.json</w:t>
      </w:r>
      <w:r>
        <w:t xml:space="preserve"> </w:t>
      </w:r>
      <w:r>
        <w:t xml:space="preserve">(e no site, em português) até ser acrescentado ao catálogo.</w:t>
      </w:r>
    </w:p>
    <w:p>
      <w:pPr>
        <w:numPr>
          <w:ilvl w:val="0"/>
          <w:numId w:val="1008"/>
        </w:numPr>
        <w:pStyle w:val="Compact"/>
      </w:pPr>
      <w:r>
        <w:t xml:space="preserve">As categorias da base (tipos de movimento, objetivos etc.) já estão em espanhol na planilha e não mudam.</w:t>
      </w:r>
    </w:p>
    <w:p>
      <w:r>
        <w:pict>
          <v:rect style="width:0;height:1.5pt" o:hralign="center" o:hrstd="t" o:hr="t"/>
        </w:pict>
      </w:r>
    </w:p>
    <w:bookmarkEnd w:id="44"/>
    <w:bookmarkEnd w:id="45"/>
    <w:bookmarkStart w:id="46" w:name="X9a8a5c3f4675aaafcd01bef6e7fb33b3e7de441"/>
    <w:p>
      <w:pPr>
        <w:pStyle w:val="Heading2"/>
      </w:pPr>
      <w:r>
        <w:t xml:space="preserve">8. Verificações de qualidade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Verificação</w:t>
            </w:r>
          </w:p>
        </w:tc>
        <w:tc>
          <w:tcPr>
            <w:shd w:val="clear" w:color="auto" w:fill="EAF3FB"/>
          </w:tcPr>
          <w:p>
            <w:pPr>
              <w:pStyle w:val="Compact"/>
              <w:spacing w:after="20"/>
              <w:jc w:val="left"/>
            </w:pPr>
            <w:r>
              <w:rPr>
                <w:b/>
                <w:sz w:val="18"/>
              </w:rPr>
              <w:t xml:space="preserve">Resultado</w:t>
            </w:r>
          </w:p>
        </w:tc>
      </w:tr>
      <w:tr>
        <w:tc>
          <w:tcPr/>
          <w:p>
            <w:pPr>
              <w:pStyle w:val="Compact"/>
              <w:spacing w:after="20"/>
              <w:jc w:val="left"/>
            </w:pPr>
            <w:r>
              <w:rPr>
                <w:sz w:val="18"/>
              </w:rPr>
              <w:t xml:space="preserve">Totais do RENABAP</w:t>
            </w:r>
          </w:p>
        </w:tc>
        <w:tc>
          <w:tcPr/>
          <w:p>
            <w:pPr>
              <w:pStyle w:val="Compact"/>
              <w:spacing w:after="20"/>
              <w:jc w:val="left"/>
            </w:pPr>
            <w:r>
              <w:rPr>
                <w:sz w:val="18"/>
              </w:rPr>
              <w:t xml:space="preserve">6.467 bairros e 1.237.795 famílias, iguais aos do registro</w:t>
            </w:r>
          </w:p>
        </w:tc>
      </w:tr>
      <w:tr>
        <w:tc>
          <w:tcPr/>
          <w:p>
            <w:pPr>
              <w:pStyle w:val="Compact"/>
              <w:spacing w:after="20"/>
              <w:jc w:val="left"/>
            </w:pPr>
            <w:r>
              <w:rPr>
                <w:sz w:val="18"/>
              </w:rPr>
              <w:t xml:space="preserve">Totais eleitorais</w:t>
            </w:r>
          </w:p>
        </w:tc>
        <w:tc>
          <w:tcPr/>
          <w:p>
            <w:pPr>
              <w:pStyle w:val="Compact"/>
              <w:spacing w:after="20"/>
              <w:jc w:val="left"/>
            </w:pPr>
            <w:r>
              <w:rPr>
                <w:sz w:val="18"/>
              </w:rPr>
              <w:t xml:space="preserve">LLA 29,99% e UxP 36,69% dos votos positivos, iguais ao resultado oficial</w:t>
            </w:r>
          </w:p>
        </w:tc>
      </w:tr>
      <w:tr>
        <w:tc>
          <w:tcPr/>
          <w:p>
            <w:pPr>
              <w:pStyle w:val="Compact"/>
              <w:spacing w:after="20"/>
              <w:jc w:val="left"/>
            </w:pPr>
            <w:r>
              <w:rPr>
                <w:sz w:val="18"/>
              </w:rPr>
              <w:t xml:space="preserve">ReNaTEP</w:t>
            </w:r>
          </w:p>
        </w:tc>
        <w:tc>
          <w:tcPr/>
          <w:p>
            <w:pPr>
              <w:pStyle w:val="Compact"/>
              <w:spacing w:after="20"/>
              <w:jc w:val="left"/>
            </w:pPr>
            <w:r>
              <w:rPr>
                <w:sz w:val="18"/>
              </w:rPr>
              <w:t xml:space="preserve">3.425.500 inscritos com província e 28.025.327 pessoas de 18 a 65 anos, iguais ao cuadro 2</w:t>
            </w:r>
          </w:p>
        </w:tc>
      </w:tr>
      <w:tr>
        <w:tc>
          <w:tcPr/>
          <w:p>
            <w:pPr>
              <w:pStyle w:val="Compact"/>
              <w:spacing w:after="20"/>
              <w:jc w:val="left"/>
            </w:pPr>
            <w:r>
              <w:rPr>
                <w:sz w:val="18"/>
              </w:rPr>
              <w:t xml:space="preserve">Femicídios</w:t>
            </w:r>
          </w:p>
        </w:tc>
        <w:tc>
          <w:tcPr/>
          <w:p>
            <w:pPr>
              <w:pStyle w:val="Compact"/>
              <w:spacing w:after="20"/>
              <w:jc w:val="left"/>
            </w:pPr>
            <w:r>
              <w:rPr>
                <w:sz w:val="18"/>
              </w:rPr>
              <w:t xml:space="preserve">228 vítimas diretas, igual à tabela 6</w:t>
            </w:r>
          </w:p>
        </w:tc>
      </w:tr>
      <w:tr>
        <w:tc>
          <w:tcPr/>
          <w:p>
            <w:pPr>
              <w:pStyle w:val="Compact"/>
              <w:spacing w:after="20"/>
              <w:jc w:val="left"/>
            </w:pPr>
            <w:r>
              <w:rPr>
                <w:sz w:val="18"/>
              </w:rPr>
              <w:t xml:space="preserve">Casamento de departamentos</w:t>
            </w:r>
          </w:p>
        </w:tc>
        <w:tc>
          <w:tcPr/>
          <w:p>
            <w:pPr>
              <w:pStyle w:val="Compact"/>
              <w:spacing w:after="20"/>
              <w:jc w:val="left"/>
            </w:pPr>
            <w:r>
              <w:rPr>
                <w:sz w:val="18"/>
              </w:rPr>
              <w:t xml:space="preserve">Todos os nomes do RENABAP e das eleições têm polígono, salvo Antártida</w:t>
            </w:r>
          </w:p>
        </w:tc>
      </w:tr>
      <w:tr>
        <w:tc>
          <w:tcPr/>
          <w:p>
            <w:pPr>
              <w:pStyle w:val="Compact"/>
              <w:spacing w:after="20"/>
              <w:jc w:val="left"/>
            </w:pPr>
            <w:r>
              <w:rPr>
                <w:sz w:val="18"/>
              </w:rPr>
              <w:t xml:space="preserve">ACM</w:t>
            </w:r>
          </w:p>
        </w:tc>
        <w:tc>
          <w:tcPr/>
          <w:p>
            <w:pPr>
              <w:pStyle w:val="Compact"/>
              <w:spacing w:after="20"/>
              <w:jc w:val="left"/>
            </w:pPr>
            <w:r>
              <w:rPr>
                <w:sz w:val="18"/>
              </w:rPr>
              <w:t xml:space="preserve">Conferida contra implementação em numpy</w:t>
            </w:r>
          </w:p>
        </w:tc>
      </w:tr>
      <w:tr>
        <w:tc>
          <w:tcPr/>
          <w:p>
            <w:pPr>
              <w:pStyle w:val="Compact"/>
              <w:spacing w:after="20"/>
              <w:jc w:val="left"/>
            </w:pPr>
            <w:r>
              <w:rPr>
                <w:sz w:val="18"/>
              </w:rPr>
              <w:t xml:space="preserve">Regressão do site</w:t>
            </w:r>
          </w:p>
        </w:tc>
        <w:tc>
          <w:tcPr/>
          <w:p>
            <w:pPr>
              <w:pStyle w:val="Compact"/>
              <w:spacing w:after="20"/>
              <w:jc w:val="left"/>
            </w:pPr>
            <w:r>
              <w:rPr>
                <w:sz w:val="18"/>
              </w:rPr>
              <w:t xml:space="preserve">Script automático abre as 12 abas e clica nas 139 combinações prontas, em português e em espanhol: sem erros (30/10/2026)</w:t>
            </w:r>
          </w:p>
        </w:tc>
      </w:tr>
      <w:tr>
        <w:tc>
          <w:tcPr/>
          <w:p>
            <w:pPr>
              <w:pStyle w:val="Compact"/>
              <w:spacing w:after="20"/>
              <w:jc w:val="left"/>
            </w:pPr>
            <w:r>
              <w:rPr>
                <w:sz w:val="18"/>
              </w:rPr>
              <w:t xml:space="preserve">Versão em espanhol</w:t>
            </w:r>
          </w:p>
        </w:tc>
        <w:tc>
          <w:tcPr/>
          <w:p>
            <w:pPr>
              <w:pStyle w:val="Compact"/>
              <w:spacing w:after="20"/>
              <w:jc w:val="left"/>
            </w:pPr>
            <w:r>
              <w:rPr>
                <w:sz w:val="18"/>
              </w:rPr>
              <w:t xml:space="preserve">Catálogo sem pendências (</w:t>
            </w:r>
            <w:r>
              <w:rPr>
                <w:rStyle w:val="VerbatimChar"/>
                <w:sz w:val="18"/>
              </w:rPr>
              <w:t xml:space="preserve">i18n/pendentes.json</w:t>
            </w:r>
            <w:r>
              <w:rPr>
                <w:sz w:val="18"/>
              </w:rPr>
              <w:t xml:space="preserve"> </w:t>
            </w:r>
            <w:r>
              <w:rPr>
                <w:sz w:val="18"/>
              </w:rPr>
              <w:t xml:space="preserve">vazio); varredura das páginas em espanhol, depois de clicar nas combinações prontas, sem palavras em português</w:t>
            </w:r>
          </w:p>
        </w:tc>
      </w:tr>
      <w:tr>
        <w:tc>
          <w:tcPr/>
          <w:p>
            <w:pPr>
              <w:pStyle w:val="Compact"/>
              <w:spacing w:after="20"/>
              <w:jc w:val="left"/>
            </w:pPr>
            <w:r>
              <w:rPr>
                <w:sz w:val="18"/>
              </w:rPr>
              <w:t xml:space="preserve">Privacidade</w:t>
            </w:r>
          </w:p>
        </w:tc>
        <w:tc>
          <w:tcPr/>
          <w:p>
            <w:pPr>
              <w:pStyle w:val="Compact"/>
              <w:spacing w:after="20"/>
              <w:jc w:val="left"/>
            </w:pPr>
            <w:r>
              <w:rPr>
                <w:rStyle w:val="VerbatimChar"/>
                <w:sz w:val="18"/>
              </w:rPr>
              <w:t xml:space="preserve">verificar_privacidade.py</w:t>
            </w:r>
            <w:r>
              <w:rPr>
                <w:sz w:val="18"/>
              </w:rPr>
              <w:t xml:space="preserve"> </w:t>
            </w:r>
            <w:r>
              <w:rPr>
                <w:sz w:val="18"/>
              </w:rPr>
              <w:t xml:space="preserve">a cada publicação</w:t>
            </w:r>
          </w:p>
        </w:tc>
      </w:tr>
      <w:tr>
        <w:tc>
          <w:tcPr/>
          <w:p>
            <w:pPr>
              <w:pStyle w:val="Compact"/>
              <w:spacing w:after="20"/>
              <w:jc w:val="left"/>
            </w:pPr>
            <w:r>
              <w:rPr>
                <w:sz w:val="18"/>
              </w:rPr>
              <w:t xml:space="preserve">Leiaute</w:t>
            </w:r>
          </w:p>
        </w:tc>
        <w:tc>
          <w:tcPr/>
          <w:p>
            <w:pPr>
              <w:pStyle w:val="Compact"/>
              <w:spacing w:after="20"/>
              <w:jc w:val="left"/>
            </w:pPr>
            <w:r>
              <w:rPr>
                <w:sz w:val="18"/>
              </w:rPr>
              <w:t xml:space="preserve">Painéis conferidos em 1300, 1024, 760 e 390 px de largura</w:t>
            </w:r>
          </w:p>
        </w:tc>
      </w:tr>
    </w:tbl>
    <w:p>
      <w:r>
        <w:pict>
          <v:rect style="width:0;height:1.5pt" o:hralign="center" o:hrstd="t" o:hr="t"/>
        </w:pict>
      </w:r>
    </w:p>
    <w:bookmarkEnd w:id="46"/>
    <w:bookmarkStart w:id="51" w:name="X37a24ddc49ec6a08847d5e7c09b751dfa640a32"/>
    <w:p>
      <w:pPr>
        <w:pStyle w:val="Heading2"/>
      </w:pPr>
      <w:r>
        <w:t xml:space="preserve">9. Registro de alterações</w:t>
      </w:r>
    </w:p>
    <w:p>
      <w:pPr>
        <w:pStyle w:val="FirstParagraph"/>
      </w:pPr>
      <w:r>
        <w:t xml:space="preserve">Datas no fuso de São Paulo. Os códigos entre colchetes são os commits do repositório.</w:t>
      </w:r>
    </w:p>
    <w:bookmarkStart w:id="47" w:name="Xb374f4671a78533177f9e41d94caa4dc6b2e1e1"/>
    <w:p>
      <w:pPr>
        <w:pStyle w:val="Heading3"/>
      </w:pPr>
      <w:r>
        <w:t xml:space="preserve">18/10/2026</w:t>
      </w:r>
    </w:p>
    <w:p>
      <w:pPr>
        <w:numPr>
          <w:ilvl w:val="0"/>
          <w:numId w:val="1009"/>
        </w:numPr>
        <w:pStyle w:val="Compact"/>
      </w:pPr>
      <w:r>
        <w:rPr>
          <w:bCs/>
          <w:b/>
        </w:rPr>
        <w:t xml:space="preserve">Primeira versão do site</w:t>
      </w:r>
      <w:r>
        <w:t xml:space="preserve"> </w:t>
      </w:r>
      <w:r>
        <w:t xml:space="preserve">e base interativa 2024 publicadas no GitHub Pages [bf1632d, 5c440c7].</w:t>
      </w:r>
    </w:p>
    <w:p>
      <w:pPr>
        <w:numPr>
          <w:ilvl w:val="0"/>
          <w:numId w:val="1009"/>
        </w:numPr>
        <w:pStyle w:val="Compact"/>
      </w:pPr>
      <w:r>
        <w:t xml:space="preserve">Navegação por endereço (</w:t>
      </w:r>
      <w:r>
        <w:rPr>
          <w:rStyle w:val="VerbatimChar"/>
        </w:rPr>
        <w:t xml:space="preserve">#mapa</w:t>
      </w:r>
      <w:r>
        <w:t xml:space="preserve">,</w:t>
      </w:r>
      <w:r>
        <w:t xml:space="preserve"> </w:t>
      </w:r>
      <w:r>
        <w:rPr>
          <w:rStyle w:val="VerbatimChar"/>
        </w:rPr>
        <w:t xml:space="preserve">#tempo</w:t>
      </w:r>
      <w:r>
        <w:t xml:space="preserve">), zoom e arraste nos mapas; README com metodologia e fontes [c1a0ced, 3f2981b].</w:t>
      </w:r>
    </w:p>
    <w:p>
      <w:pPr>
        <w:numPr>
          <w:ilvl w:val="0"/>
          <w:numId w:val="1009"/>
        </w:numPr>
        <w:pStyle w:val="Compact"/>
      </w:pPr>
      <w:r>
        <w:rPr>
          <w:bCs/>
          <w:b/>
        </w:rPr>
        <w:t xml:space="preserve">Pipeline em Python</w:t>
      </w:r>
      <w:r>
        <w:t xml:space="preserve">, código modular, dados abertos e GeoPackage para QGIS; publicação automática pelo GitHub Actions com verificação de privacidade [a33414f, cc7cd3c].</w:t>
      </w:r>
    </w:p>
    <w:p>
      <w:pPr>
        <w:numPr>
          <w:ilvl w:val="0"/>
          <w:numId w:val="1009"/>
        </w:numPr>
        <w:pStyle w:val="Compact"/>
      </w:pPr>
      <w:r>
        <w:t xml:space="preserve">Identidade argentina, gráficos especializados e primeiros indicadores oficiais (população, EPH, homicídios) [968ee5c].</w:t>
      </w:r>
    </w:p>
    <w:p>
      <w:pPr>
        <w:numPr>
          <w:ilvl w:val="0"/>
          <w:numId w:val="1009"/>
        </w:numPr>
        <w:pStyle w:val="Compact"/>
      </w:pPr>
      <w:r>
        <w:rPr>
          <w:bCs/>
          <w:b/>
        </w:rPr>
        <w:t xml:space="preserve">28 indicadores do Censo 2022 por departamento</w:t>
      </w:r>
      <w:r>
        <w:t xml:space="preserve"> </w:t>
      </w:r>
      <w:r>
        <w:t xml:space="preserve">(Geoportal do INDEC) e taxas por departamento [9c2705c].</w:t>
      </w:r>
    </w:p>
    <w:p>
      <w:pPr>
        <w:numPr>
          <w:ilvl w:val="0"/>
          <w:numId w:val="1009"/>
        </w:numPr>
        <w:pStyle w:val="Compact"/>
      </w:pPr>
      <w:r>
        <w:t xml:space="preserve">Nova identidade visual com fundo branco e marcha desenhada; tipografia Urbanist [ee5db14, 504893c].</w:t>
      </w:r>
    </w:p>
    <w:p>
      <w:pPr>
        <w:numPr>
          <w:ilvl w:val="0"/>
          <w:numId w:val="1009"/>
        </w:numPr>
        <w:pStyle w:val="Compact"/>
      </w:pPr>
      <w:r>
        <w:t xml:space="preserve">Novas análises: associação (resíduos), Comparar, ACM, mapa bivariado, LISA, série semanal com acontecimentos, comunidades, Imprensa, Fichas e links do recorte [3e910b0].</w:t>
      </w:r>
    </w:p>
    <w:p>
      <w:pPr>
        <w:numPr>
          <w:ilvl w:val="0"/>
          <w:numId w:val="1009"/>
        </w:numPr>
        <w:pStyle w:val="Compact"/>
      </w:pPr>
      <w:r>
        <w:t xml:space="preserve">Guias “Como ler”, exemplos, leituras automáticas, topônimos que mudam com o zoom e ficha em formato de prancha [88a2c6e, c896e9e].</w:t>
      </w:r>
    </w:p>
    <w:p>
      <w:pPr>
        <w:numPr>
          <w:ilvl w:val="0"/>
          <w:numId w:val="1009"/>
        </w:numPr>
        <w:pStyle w:val="Compact"/>
      </w:pPr>
      <w:r>
        <w:t xml:space="preserve">Mapa navegável mundial, destaques por população (Poisson), combinações prontas em todas as abas, glossário [f80c8bd].</w:t>
      </w:r>
    </w:p>
    <w:p>
      <w:pPr>
        <w:numPr>
          <w:ilvl w:val="0"/>
          <w:numId w:val="1009"/>
        </w:numPr>
        <w:pStyle w:val="Compact"/>
      </w:pPr>
      <w:r>
        <w:rPr>
          <w:bCs/>
          <w:b/>
        </w:rPr>
        <w:t xml:space="preserve">Título DATALUTA</w:t>
      </w:r>
      <w:r>
        <w:t xml:space="preserve">, revisão dos textos e troca do mapa base (CARTO exigia chave; passou a Esri/OSM) [81c0a67].</w:t>
      </w:r>
    </w:p>
    <w:p>
      <w:pPr>
        <w:numPr>
          <w:ilvl w:val="0"/>
          <w:numId w:val="1009"/>
        </w:numPr>
        <w:pStyle w:val="Compact"/>
      </w:pPr>
      <w:r>
        <w:t xml:space="preserve">Título com</w:t>
      </w:r>
      <w:r>
        <w:t xml:space="preserve"> </w:t>
      </w:r>
      <w:r>
        <w:rPr>
          <w:bCs/>
          <w:b/>
        </w:rPr>
        <w:t xml:space="preserve">Argentina 2024</w:t>
      </w:r>
      <w:r>
        <w:t xml:space="preserve">,</w:t>
      </w:r>
      <w:r>
        <w:t xml:space="preserve"> </w:t>
      </w:r>
      <w:r>
        <w:rPr>
          <w:bCs/>
          <w:b/>
        </w:rPr>
        <w:t xml:space="preserve">aba Síntese</w:t>
      </w:r>
      <w:r>
        <w:t xml:space="preserve"> </w:t>
      </w:r>
      <w:r>
        <w:t xml:space="preserve">e novas combinações prontas [ec307a2].</w:t>
      </w:r>
    </w:p>
    <w:p>
      <w:pPr>
        <w:numPr>
          <w:ilvl w:val="0"/>
          <w:numId w:val="1009"/>
        </w:numPr>
        <w:pStyle w:val="Compact"/>
      </w:pPr>
      <w:r>
        <w:t xml:space="preserve">Síntese: explicação passo a passo do resíduo ajustado, régua de leitura e combinações raras [2ee97ab].</w:t>
      </w:r>
    </w:p>
    <w:bookmarkEnd w:id="47"/>
    <w:bookmarkStart w:id="48" w:name="Xfda8f6a74ee01990937dc6b5f77dee589813531"/>
    <w:p>
      <w:pPr>
        <w:pStyle w:val="Heading3"/>
      </w:pPr>
      <w:r>
        <w:t xml:space="preserve">19/10/2026</w:t>
      </w:r>
    </w:p>
    <w:p>
      <w:pPr>
        <w:numPr>
          <w:ilvl w:val="0"/>
          <w:numId w:val="1010"/>
        </w:numPr>
        <w:pStyle w:val="Compact"/>
      </w:pPr>
      <w:r>
        <w:rPr>
          <w:bCs/>
          <w:b/>
        </w:rPr>
        <w:t xml:space="preserve">Contexto ligado às lutas:</w:t>
      </w:r>
      <w:r>
        <w:t xml:space="preserve"> </w:t>
      </w:r>
      <w:r>
        <w:t xml:space="preserve">entram RENABAP, ReNaTEP, voto presidencial de 2023 e femicídios; indicadores separados em “ligados às lutas” e “controles” [6f0fe22].</w:t>
      </w:r>
    </w:p>
    <w:p>
      <w:pPr>
        <w:numPr>
          <w:ilvl w:val="0"/>
          <w:numId w:val="1010"/>
        </w:numPr>
        <w:pStyle w:val="Compact"/>
      </w:pPr>
      <w:r>
        <w:rPr>
          <w:bCs/>
          <w:b/>
        </w:rPr>
        <w:t xml:space="preserve">Indicadores sem ligação com as lutas retirados do site</w:t>
      </w:r>
      <w:r>
        <w:t xml:space="preserve">; El Cuy deixado vazio no RENABAP; painel do mapa reorganizado em três blocos; quadro “Como foi calculado este mapa”; cálculo da tendência explicado no Contexto;</w:t>
      </w:r>
      <w:r>
        <w:t xml:space="preserve"> </w:t>
      </w:r>
      <w:r>
        <w:rPr>
          <w:bCs/>
          <w:b/>
        </w:rPr>
        <w:t xml:space="preserve">leitura em três partes para as 139 combinações prontas</w:t>
      </w:r>
      <w:r>
        <w:t xml:space="preserve"> </w:t>
      </w:r>
      <w:r>
        <w:t xml:space="preserve">[5839d6f].</w:t>
      </w:r>
    </w:p>
    <w:p>
      <w:pPr>
        <w:numPr>
          <w:ilvl w:val="0"/>
          <w:numId w:val="1010"/>
        </w:numPr>
        <w:pStyle w:val="Compact"/>
      </w:pPr>
      <w:r>
        <w:t xml:space="preserve">Criado este documento de processo e o roteiro</w:t>
      </w:r>
      <w:r>
        <w:t xml:space="preserve"> </w:t>
      </w:r>
      <w:r>
        <w:rPr>
          <w:rStyle w:val="VerbatimChar"/>
        </w:rPr>
        <w:t xml:space="preserve">pipeline/reconstruir.sh</w:t>
      </w:r>
      <w:r>
        <w:t xml:space="preserve">.</w:t>
      </w:r>
    </w:p>
    <w:p>
      <w:pPr>
        <w:numPr>
          <w:ilvl w:val="0"/>
          <w:numId w:val="1010"/>
        </w:numPr>
        <w:pStyle w:val="Compact"/>
      </w:pPr>
      <w:r>
        <w:rPr>
          <w:bCs/>
          <w:b/>
        </w:rPr>
        <w:t xml:space="preserve">Licenças definidas:</w:t>
      </w:r>
      <w:r>
        <w:t xml:space="preserve"> </w:t>
      </w:r>
      <w:r>
        <w:t xml:space="preserve">base de dados sob CC BY 4.0 (arquivo</w:t>
      </w:r>
      <w:r>
        <w:t xml:space="preserve"> </w:t>
      </w:r>
      <w:r>
        <w:rPr>
          <w:rStyle w:val="VerbatimChar"/>
        </w:rPr>
        <w:t xml:space="preserve">LICENSE</w:t>
      </w:r>
      <w:r>
        <w:t xml:space="preserve">, que o GitHub reconhece) e código sob MIT (</w:t>
      </w:r>
      <w:r>
        <w:rPr>
          <w:rStyle w:val="VerbatimChar"/>
        </w:rPr>
        <w:t xml:space="preserve">LICENCA-CODIGO</w:t>
      </w:r>
      <w:r>
        <w:t xml:space="preserve">);</w:t>
      </w:r>
      <w:r>
        <w:t xml:space="preserve"> </w:t>
      </w:r>
      <w:r>
        <w:rPr>
          <w:rStyle w:val="VerbatimChar"/>
        </w:rPr>
        <w:t xml:space="preserve">LICENCAS.md</w:t>
      </w:r>
      <w:r>
        <w:t xml:space="preserve"> </w:t>
      </w:r>
      <w:r>
        <w:t xml:space="preserve">explica o que cada uma cobre, lista as condições dos dados de terceiros e traz a forma de citar; rodapés do site e README atualizados. Motivo: sem licença, ninguém tinha permissão formal de reutilizar a base; a CC BY 4.0 é o padrão em dados científicos abertos, garante o crédito e é compatível com o GeoNames e o datos.gob.ar.</w:t>
      </w:r>
    </w:p>
    <w:p>
      <w:pPr>
        <w:numPr>
          <w:ilvl w:val="0"/>
          <w:numId w:val="1010"/>
        </w:numPr>
        <w:pStyle w:val="Compact"/>
      </w:pPr>
      <w:r>
        <w:rPr>
          <w:bCs/>
          <w:b/>
        </w:rPr>
        <w:t xml:space="preserve">Versão em Word do documento de processo</w:t>
      </w:r>
      <w:r>
        <w:t xml:space="preserve"> </w:t>
      </w:r>
      <w:r>
        <w:t xml:space="preserve">(</w:t>
      </w:r>
      <w:r>
        <w:rPr>
          <w:rStyle w:val="VerbatimChar"/>
        </w:rPr>
        <w:t xml:space="preserve">PROCESSO.docx</w:t>
      </w:r>
      <w:r>
        <w:t xml:space="preserve">), gerada a partir deste arquivo por</w:t>
      </w:r>
      <w:r>
        <w:t xml:space="preserve"> </w:t>
      </w:r>
      <w:r>
        <w:rPr>
          <w:rStyle w:val="VerbatimChar"/>
        </w:rPr>
        <w:t xml:space="preserve">pipeline/gerar_processo_docx.py</w:t>
      </w:r>
      <w:r>
        <w:t xml:space="preserve"> </w:t>
      </w:r>
      <w:r>
        <w:t xml:space="preserve">(pandoc + python-docx), para circular no grupo.</w:t>
      </w:r>
    </w:p>
    <w:p>
      <w:pPr>
        <w:numPr>
          <w:ilvl w:val="0"/>
          <w:numId w:val="1010"/>
        </w:numPr>
        <w:pStyle w:val="Compact"/>
      </w:pPr>
      <w:r>
        <w:rPr>
          <w:bCs/>
          <w:b/>
        </w:rPr>
        <w:t xml:space="preserve">LISA explicado passo a passo</w:t>
      </w:r>
      <w:r>
        <w:t xml:space="preserve"> </w:t>
      </w:r>
      <w:r>
        <w:t xml:space="preserve">no quadro “Como foi calculado este mapa” (abre sozinho na primeira vez), com exemplo numérico de um ponto quente e de um ponto frio, lista dos departamentos, I global e cuidados; dica do mapa mostra z, média dos vizinhos e I local; glossário e guia ampliados. O teste de permutação passou a sortear os vizinhos</w:t>
      </w:r>
      <w:r>
        <w:t xml:space="preserve"> </w:t>
      </w:r>
      <w:r>
        <w:rPr>
          <w:bCs/>
          <w:b/>
        </w:rPr>
        <w:t xml:space="preserve">sem reposição</w:t>
      </w:r>
      <w:r>
        <w:t xml:space="preserve"> </w:t>
      </w:r>
      <w:r>
        <w:t xml:space="preserve">(permutação condicional, como no GeoDa); antes sorteava com reposição. Motivo: pedido de deixar claro como o LISA é calculado.</w:t>
      </w:r>
    </w:p>
    <w:bookmarkEnd w:id="48"/>
    <w:bookmarkStart w:id="49" w:name="X0243e2acffdb3298bb3301518b805b778538cf8"/>
    <w:p>
      <w:pPr>
        <w:pStyle w:val="Heading3"/>
      </w:pPr>
      <w:r>
        <w:t xml:space="preserve">28/10/2026</w:t>
      </w:r>
    </w:p>
    <w:p>
      <w:pPr>
        <w:numPr>
          <w:ilvl w:val="0"/>
          <w:numId w:val="1011"/>
        </w:numPr>
        <w:pStyle w:val="Compact"/>
      </w:pPr>
      <w:r>
        <w:rPr>
          <w:bCs/>
          <w:b/>
        </w:rPr>
        <w:t xml:space="preserve">Fichas:</w:t>
      </w:r>
      <w:r>
        <w:t xml:space="preserve"> </w:t>
      </w:r>
      <w:r>
        <w:t xml:space="preserve">a escolha passou a ser uma lista fechada só com as categorias do tipo de ficha escolhido (por exemplo, só objetivos), com o número de notícias, e um campo para filtrar a lista. Motivo: o campo de texto anterior, com sugestões, deixava o navegador misturar valores digitados antes em outros tipos de ficha (nomes de movimentos, províncias).</w:t>
      </w:r>
    </w:p>
    <w:bookmarkEnd w:id="49"/>
    <w:bookmarkStart w:id="50" w:name="X6d16d1d1dfee84c5325917dbbdeb1135ee226ab"/>
    <w:p>
      <w:pPr>
        <w:pStyle w:val="Heading3"/>
      </w:pPr>
      <w:r>
        <w:t xml:space="preserve">30/10/2026</w:t>
      </w:r>
    </w:p>
    <w:p>
      <w:pPr>
        <w:numPr>
          <w:ilvl w:val="0"/>
          <w:numId w:val="1012"/>
        </w:numPr>
        <w:pStyle w:val="Compact"/>
      </w:pPr>
      <w:r>
        <w:rPr>
          <w:bCs/>
          <w:b/>
        </w:rPr>
        <w:t xml:space="preserve">Ano e país</w:t>
      </w:r>
      <w:r>
        <w:t xml:space="preserve"> </w:t>
      </w:r>
      <w:r>
        <w:t xml:space="preserve">entram como variáveis (colunas opcionais</w:t>
      </w:r>
      <w:r>
        <w:t xml:space="preserve"> </w:t>
      </w:r>
      <w:r>
        <w:rPr>
          <w:rStyle w:val="VerbatimChar"/>
        </w:rPr>
        <w:t xml:space="preserve">Año</w:t>
      </w:r>
      <w:r>
        <w:t xml:space="preserve"> </w:t>
      </w:r>
      <w:r>
        <w:t xml:space="preserve">e</w:t>
      </w:r>
      <w:r>
        <w:t xml:space="preserve"> </w:t>
      </w:r>
      <w:r>
        <w:rPr>
          <w:rStyle w:val="VerbatimChar"/>
        </w:rPr>
        <w:t xml:space="preserve">País</w:t>
      </w:r>
      <w:r>
        <w:t xml:space="preserve"> </w:t>
      </w:r>
      <w:r>
        <w:t xml:space="preserve">da planilha) e como</w:t>
      </w:r>
      <w:r>
        <w:t xml:space="preserve"> </w:t>
      </w:r>
      <w:r>
        <w:rPr>
          <w:bCs/>
          <w:b/>
        </w:rPr>
        <w:t xml:space="preserve">seletores no topo da base</w:t>
      </w:r>
      <w:r>
        <w:t xml:space="preserve">. Motivo: preparar a base para juntar os cinco anos da Argentina e os dados do Brasil numa só planilha padronizada.</w:t>
      </w:r>
    </w:p>
    <w:p>
      <w:pPr>
        <w:numPr>
          <w:ilvl w:val="0"/>
          <w:numId w:val="1012"/>
        </w:numPr>
        <w:pStyle w:val="Compact"/>
      </w:pPr>
      <w:r>
        <w:rPr>
          <w:bCs/>
          <w:b/>
        </w:rPr>
        <w:t xml:space="preserve">Busca mais visível:</w:t>
      </w:r>
      <w:r>
        <w:t xml:space="preserve"> </w:t>
      </w:r>
      <w:r>
        <w:t xml:space="preserve">campo fixo no topo da base que filtra todas as abas, com etiqueta nos filtros e guardado no link. Motivo: a busca ficava escondida no fim da página e só valia para a lista de notícias.</w:t>
      </w:r>
    </w:p>
    <w:p>
      <w:pPr>
        <w:numPr>
          <w:ilvl w:val="0"/>
          <w:numId w:val="1012"/>
        </w:numPr>
        <w:pStyle w:val="Compact"/>
      </w:pPr>
      <w:r>
        <w:rPr>
          <w:bCs/>
          <w:b/>
        </w:rPr>
        <w:t xml:space="preserve">Página “Sobre e metodologia”</w:t>
      </w:r>
      <w:r>
        <w:t xml:space="preserve"> </w:t>
      </w:r>
      <w:r>
        <w:t xml:space="preserve">(</w:t>
      </w:r>
      <w:r>
        <w:rPr>
          <w:rStyle w:val="VerbatimChar"/>
        </w:rPr>
        <w:t xml:space="preserve">/sobre/</w:t>
      </w:r>
      <w:r>
        <w:t xml:space="preserve">). Motivo: reunir num só lugar como a base foi feita, com fontes, cálculos, limites e citação.</w:t>
      </w:r>
    </w:p>
    <w:p>
      <w:pPr>
        <w:numPr>
          <w:ilvl w:val="0"/>
          <w:numId w:val="1012"/>
        </w:numPr>
        <w:pStyle w:val="Compact"/>
      </w:pPr>
      <w:r>
        <w:rPr>
          <w:bCs/>
          <w:b/>
        </w:rPr>
        <w:t xml:space="preserve">Versão em espanhol</w:t>
      </w:r>
      <w:r>
        <w:t xml:space="preserve"> </w:t>
      </w:r>
      <w:r>
        <w:t xml:space="preserve">(</w:t>
      </w:r>
      <w:r>
        <w:rPr>
          <w:rStyle w:val="VerbatimChar"/>
        </w:rPr>
        <w:t xml:space="preserve">/es/</w:t>
      </w:r>
      <w:r>
        <w:t xml:space="preserve">), gerada a partir do português por</w:t>
      </w:r>
      <w:r>
        <w:t xml:space="preserve"> </w:t>
      </w:r>
      <w:r>
        <w:rPr>
          <w:rStyle w:val="VerbatimChar"/>
        </w:rPr>
        <w:t xml:space="preserve">i18n/ferramenta.js</w:t>
      </w:r>
      <w:r>
        <w:t xml:space="preserve"> </w:t>
      </w:r>
      <w:r>
        <w:t xml:space="preserve">com o catálogo</w:t>
      </w:r>
      <w:r>
        <w:t xml:space="preserve"> </w:t>
      </w:r>
      <w:r>
        <w:rPr>
          <w:rStyle w:val="VerbatimChar"/>
        </w:rPr>
        <w:t xml:space="preserve">i18n/es.json</w:t>
      </w:r>
      <w:r>
        <w:t xml:space="preserve">; o GitHub Actions passou a gerá-la e a publicar também</w:t>
      </w:r>
      <w:r>
        <w:t xml:space="preserve"> </w:t>
      </w:r>
      <w:r>
        <w:rPr>
          <w:rStyle w:val="VerbatimChar"/>
        </w:rPr>
        <w:t xml:space="preserve">sobre/</w:t>
      </w:r>
      <w:r>
        <w:t xml:space="preserve"> </w:t>
      </w:r>
      <w:r>
        <w:t xml:space="preserve">e</w:t>
      </w:r>
      <w:r>
        <w:t xml:space="preserve"> </w:t>
      </w:r>
      <w:r>
        <w:rPr>
          <w:rStyle w:val="VerbatimChar"/>
        </w:rPr>
        <w:t xml:space="preserve">es/</w:t>
      </w:r>
      <w:r>
        <w:t xml:space="preserve">. Motivo: o público da base é sobretudo argentino e latino-americano (CLACSO). [66fd7e9]</w:t>
      </w:r>
    </w:p>
    <w:p>
      <w:pPr>
        <w:numPr>
          <w:ilvl w:val="0"/>
          <w:numId w:val="1012"/>
        </w:numPr>
        <w:pStyle w:val="Compact"/>
      </w:pPr>
      <w:r>
        <w:t xml:space="preserve">Seção 2, 4, 7 e 8 atualizadas;</w:t>
      </w:r>
      <w:r>
        <w:t xml:space="preserve"> </w:t>
      </w:r>
      <w:r>
        <w:rPr>
          <w:rStyle w:val="VerbatimChar"/>
        </w:rPr>
        <w:t xml:space="preserve">pipeline/reconstruir.sh</w:t>
      </w:r>
      <w:r>
        <w:t xml:space="preserve"> </w:t>
      </w:r>
      <w:r>
        <w:t xml:space="preserve">ganhou o passo da versão em espanhol.</w:t>
      </w:r>
    </w:p>
    <w:p>
      <w:pPr>
        <w:numPr>
          <w:ilvl w:val="0"/>
          <w:numId w:val="1012"/>
        </w:numPr>
        <w:pStyle w:val="Compact"/>
      </w:pPr>
      <w:r>
        <w:rPr>
          <w:bCs/>
          <w:b/>
        </w:rPr>
        <w:t xml:space="preserve">Mapa animado na abertura</w:t>
      </w:r>
      <w:r>
        <w:t xml:space="preserve"> </w:t>
      </w:r>
      <w:r>
        <w:t xml:space="preserve">da página inicial e da base, no lugar da ilustração da marcha: os pontos das ações vão preenchendo a Argentina ao longo de 2024 e depois o mapa fica parado (ver seção 7, Identidade visual). Motivo: pedido de uma entrada mais dinâmica, que mostre já na abertura onde e quando as ações aconteceram. Também: links do menu passam a quebrar linha em telas estreitas (antes vazavam para a direita no celular).</w:t>
      </w:r>
    </w:p>
    <w:p>
      <w:pPr>
        <w:numPr>
          <w:ilvl w:val="0"/>
          <w:numId w:val="1012"/>
        </w:numPr>
        <w:pStyle w:val="Compact"/>
      </w:pPr>
      <w:r>
        <w:rPr>
          <w:bCs/>
          <w:b/>
        </w:rPr>
        <w:t xml:space="preserve">Ajustes no mapa da abertura:</w:t>
      </w:r>
      <w:r>
        <w:t xml:space="preserve"> </w:t>
      </w:r>
      <w:r>
        <w:t xml:space="preserve">países vizinhos e oceanos com nomes, como no mapa navegável; cores mais vivas (mar celeste, país em branco quente, vizinhos em bege); divisas das províncias mais fortes; bandeira argentina. Motivo: pedido do responsável (o fundo estava muito apagado e faltava situar a Argentina no continente).</w:t>
      </w:r>
    </w:p>
    <w:p>
      <w:pPr>
        <w:numPr>
          <w:ilvl w:val="0"/>
          <w:numId w:val="1012"/>
        </w:numPr>
        <w:pStyle w:val="Compact"/>
      </w:pPr>
      <w:r>
        <w:rPr>
          <w:bCs/>
          <w:b/>
        </w:rPr>
        <w:t xml:space="preserve">Mapa no cabeçalho inteiro</w:t>
      </w:r>
      <w:r>
        <w:t xml:space="preserve"> </w:t>
      </w:r>
      <w:r>
        <w:t xml:space="preserve">da página inicial (telas a partir de 1200 px), com grade de meridianos e paralelos no mar, e</w:t>
      </w:r>
      <w:r>
        <w:t xml:space="preserve"> </w:t>
      </w:r>
      <w:r>
        <w:rPr>
          <w:bCs/>
          <w:b/>
        </w:rPr>
        <w:t xml:space="preserve">sem o gráfico de semanas</w:t>
      </w:r>
      <w:r>
        <w:t xml:space="preserve"> </w:t>
      </w:r>
      <w:r>
        <w:t xml:space="preserve">embaixo do mapa (na página inicial e na base). Contagem de localidades do mapa passou a usar os nomes das localidades (123), e não as coordenadas arredondadas. Motivo: pedido do responsável.</w:t>
      </w:r>
    </w:p>
    <w:p>
      <w:pPr>
        <w:numPr>
          <w:ilvl w:val="0"/>
          <w:numId w:val="1012"/>
        </w:numPr>
        <w:pStyle w:val="Compact"/>
      </w:pPr>
      <w:r>
        <w:rPr>
          <w:bCs/>
          <w:b/>
        </w:rPr>
        <w:t xml:space="preserve">Mapa cobrindo o cabeçalho inteiro em qualquer tela</w:t>
      </w:r>
      <w:r>
        <w:t xml:space="preserve"> </w:t>
      </w:r>
      <w:r>
        <w:t xml:space="preserve">(a versão anterior só fazia isso a partir de 1200 px e deixava o menu sobre fundo branco): menu dentro do cabeçalho, sobre o mapa, com fundo branco translúcido; enquadramento calculado no navegador a partir do tamanho do cabeçalho e do texto. Motivo: o responsável avaliou que o mapa não ocupava todo o cabeçalho.</w:t>
      </w:r>
    </w:p>
    <w:p>
      <w:pPr>
        <w:numPr>
          <w:ilvl w:val="0"/>
          <w:numId w:val="1012"/>
        </w:numPr>
        <w:pStyle w:val="Compact"/>
      </w:pPr>
      <w:r>
        <w:rPr>
          <w:bCs/>
          <w:b/>
        </w:rPr>
        <w:t xml:space="preserve">Nome oficial da base</w:t>
      </w:r>
      <w:r>
        <w:t xml:space="preserve"> </w:t>
      </w:r>
      <w:r>
        <w:t xml:space="preserve">passa a ser “Banco de Dados das Lutas por Espaços e Territórios (DATALUTA) - Movimentos Socioespaciais e Socioterritoriais Urbanos Argentinos (2024)” (em espanhol, “Banco de Datos de las Luchas por Espacios y Territorios (DATALUTA) - Movimientos Socioespaciales y Socioterritoriales Urbanos Argentinos (2024)”), na página inicial, na base, na página Sobre, nas citações (README,</w:t>
      </w:r>
      <w:r>
        <w:t xml:space="preserve"> </w:t>
      </w:r>
      <w:r>
        <w:rPr>
          <w:rStyle w:val="VerbatimChar"/>
        </w:rPr>
        <w:t xml:space="preserve">LICENCAS.md</w:t>
      </w:r>
      <w:r>
        <w:t xml:space="preserve">, Sobre), neste documento e no rodapé da versão em Word. Título da página inicial: “Ações no espaço urbano argentino em 2024”. Bandeira do mapa da abertura reposicionada para o Atlântico aberto, a leste da Patagônia. Motivo: pedido do responsável.</w:t>
      </w:r>
    </w:p>
    <w:p>
      <w:pPr>
        <w:numPr>
          <w:ilvl w:val="0"/>
          <w:numId w:val="1012"/>
        </w:numPr>
        <w:pStyle w:val="Compact"/>
      </w:pPr>
      <w:r>
        <w:rPr>
          <w:bCs/>
          <w:b/>
        </w:rPr>
        <w:t xml:space="preserve">Linha com o nome da base</w:t>
      </w:r>
      <w:r>
        <w:t xml:space="preserve"> </w:t>
      </w:r>
      <w:r>
        <w:t xml:space="preserve">(acima do título, na página inicial e na Sobre) e rótulos da Síntese e das leituras passam do laranja-amarronzado para o azul da paleta (#1d5994 e #2569ad). O laranja segue só nos gráficos e mapas, onde indica “acima do esperado”. Motivo: pedido do responsável, para combinar com a paleta.</w:t>
      </w:r>
    </w:p>
    <w:p>
      <w:pPr>
        <w:numPr>
          <w:ilvl w:val="0"/>
          <w:numId w:val="1012"/>
        </w:numPr>
        <w:pStyle w:val="Compact"/>
      </w:pPr>
      <w:r>
        <w:rPr>
          <w:bCs/>
          <w:b/>
        </w:rPr>
        <w:t xml:space="preserve">Quatro recursos novos e página de produções</w:t>
      </w:r>
      <w:r>
        <w:t xml:space="preserve">, sem mudar a estrutura da base (seção 7.5): ficha de cada notícia com link próprio e notícias parecidas; correção colaborativa por formulário; data de atualização dos dados; galeria “Perguntas para começar” na página inicial; página “Produções”. Corrigido também o link da página inicial em espanhol, que levava à base em português. Motivo: levantamento de bases interativas de referência (IBGE, Crowd Counting, EJAtlas, Carnegie) e pedido do responsável.</w:t>
      </w:r>
    </w:p>
    <w:p>
      <w:pPr>
        <w:numPr>
          <w:ilvl w:val="0"/>
          <w:numId w:val="1012"/>
        </w:numPr>
        <w:pStyle w:val="Compact"/>
      </w:pPr>
      <w:r>
        <w:rPr>
          <w:bCs/>
          <w:b/>
        </w:rPr>
        <w:t xml:space="preserve">Ajustes na página inicial:</w:t>
      </w:r>
      <w:r>
        <w:t xml:space="preserve"> </w:t>
      </w:r>
      <w:r>
        <w:t xml:space="preserve">saiu o cartão “A mobilização aparece onde estão os bairros populares?” da galeria; saiu a bandeira do mapa da abertura (atributo</w:t>
      </w:r>
      <w:r>
        <w:t xml:space="preserve"> </w:t>
      </w:r>
      <w:r>
        <w:rPr>
          <w:rStyle w:val="VerbatimChar"/>
        </w:rPr>
        <w:t xml:space="preserve">data-sem-bandeira</w:t>
      </w:r>
      <w:r>
        <w:t xml:space="preserve">; no mapa menor da base ela continua); a marca no canto superior (sol + “Ações Socioespaciais”) passou a ser sol + “Início” em todas as páginas, e o link “Início” repetido no menu saiu; sugestões e correções ficaram mais visíveis (seção “Contribua com a base”, link “Contribuir” no menu e quadro acima da lista de notícias). Motivo: pedido do responsável.</w:t>
      </w:r>
    </w:p>
    <w:p>
      <w:pPr>
        <w:numPr>
          <w:ilvl w:val="0"/>
          <w:numId w:val="1012"/>
        </w:numPr>
        <w:pStyle w:val="Compact"/>
      </w:pPr>
      <w:r>
        <w:rPr>
          <w:bCs/>
          <w:b/>
        </w:rPr>
        <w:t xml:space="preserve">Novas leituras e história guiada</w:t>
      </w:r>
      <w:r>
        <w:t xml:space="preserve"> </w:t>
      </w:r>
      <w:r>
        <w:t xml:space="preserve">(seções 7.6 e 7.7): funil, mapa de pontos por categoria, cartograma, mapa de calor reordenado, perfil comparado nas fichas, linha do tempo de notícias, margem de erro no Comparar e a página “2024 em ações”. Tudo acrescentado, sem mudar abas, cálculos ou endereços existentes. Motivo: pedido do responsável para melhorar a representação.</w:t>
      </w:r>
    </w:p>
    <w:p>
      <w:pPr>
        <w:numPr>
          <w:ilvl w:val="0"/>
          <w:numId w:val="1012"/>
        </w:numPr>
        <w:pStyle w:val="Compact"/>
      </w:pPr>
      <w:r>
        <w:rPr>
          <w:bCs/>
          <w:b/>
        </w:rPr>
        <w:t xml:space="preserve">Atalhos, downloads e citação</w:t>
      </w:r>
      <w:r>
        <w:t xml:space="preserve"> </w:t>
      </w:r>
      <w:r>
        <w:t xml:space="preserve">(seção 7.8): faixa no topo de cada aba com atalhos para as novas leituras, CSV do recorte e “Como citar”; botões “Baixar PNG” e “Baixar SVG” embaixo dos gráficos, com título, recorte e fonte gravados na imagem; CSV das tabelas das novas leituras; citação em ABNT, APA e BibTeX;</w:t>
      </w:r>
      <w:r>
        <w:t xml:space="preserve"> </w:t>
      </w:r>
      <w:r>
        <w:rPr>
          <w:rStyle w:val="VerbatimChar"/>
        </w:rPr>
        <w:t xml:space="preserve">CITATION.cff</w:t>
      </w:r>
      <w:r>
        <w:t xml:space="preserve"> </w:t>
      </w:r>
      <w:r>
        <w:t xml:space="preserve">e</w:t>
      </w:r>
      <w:r>
        <w:t xml:space="preserve"> </w:t>
      </w:r>
      <w:r>
        <w:rPr>
          <w:rStyle w:val="VerbatimChar"/>
        </w:rPr>
        <w:t xml:space="preserve">.zenodo.json</w:t>
      </w:r>
      <w:r>
        <w:t xml:space="preserve">. Motivo: facilitar encontrar as novas leituras e reutilizar e citar a base em trabalhos acadêmicos.</w:t>
      </w:r>
    </w:p>
    <w:p>
      <w:r>
        <w:pict>
          <v:rect style="width:0;height:1.5pt" o:hralign="center" o:hrstd="t" o:hr="t"/>
        </w:pict>
      </w:r>
    </w:p>
    <w:bookmarkEnd w:id="50"/>
    <w:bookmarkEnd w:id="51"/>
    <w:bookmarkStart w:id="52" w:name="X3d9f82193e44c2a113d49ff9b97f8db3ae86c66"/>
    <w:p>
      <w:pPr>
        <w:pStyle w:val="Heading2"/>
      </w:pPr>
      <w:r>
        <w:t xml:space="preserve">10. Pendências</w:t>
      </w:r>
    </w:p>
    <w:p>
      <w:pPr>
        <w:numPr>
          <w:ilvl w:val="0"/>
          <w:numId w:val="1013"/>
        </w:numPr>
        <w:pStyle w:val="Compact"/>
      </w:pPr>
      <w:r>
        <w:t xml:space="preserve">☐</w:t>
      </w:r>
      <w:r>
        <w:t xml:space="preserve"> </w:t>
      </w:r>
      <w:r>
        <w:rPr>
          <w:bCs/>
          <w:b/>
        </w:rPr>
        <w:t xml:space="preserve">Licenças:</w:t>
      </w:r>
      <w:r>
        <w:t xml:space="preserve"> </w:t>
      </w:r>
      <w:r>
        <w:t xml:space="preserve">o arquivo</w:t>
      </w:r>
      <w:r>
        <w:t xml:space="preserve"> </w:t>
      </w:r>
      <w:r>
        <w:rPr>
          <w:rStyle w:val="VerbatimChar"/>
        </w:rPr>
        <w:t xml:space="preserve">LICENSE</w:t>
      </w:r>
      <w:r>
        <w:t xml:space="preserve"> </w:t>
      </w:r>
      <w:r>
        <w:t xml:space="preserve">foi trocado no GitHub para MIT (commit 6f63b69), mas</w:t>
      </w:r>
      <w:r>
        <w:t xml:space="preserve"> </w:t>
      </w:r>
      <w:r>
        <w:rPr>
          <w:rStyle w:val="VerbatimChar"/>
        </w:rPr>
        <w:t xml:space="preserve">LICENCAS.md</w:t>
      </w:r>
      <w:r>
        <w:t xml:space="preserve">, README, página Sobre e rodapés ainda dizem base de dados sob CC BY 4.0 e código sob MIT. Decidir entre manter CC BY 4.0 para os dados (recomendado) ou adotar MIT para tudo, e alinhar os arquivos. Confirmar também com o grupo/centro de pesquisa.</w:t>
      </w:r>
    </w:p>
    <w:p>
      <w:pPr>
        <w:numPr>
          <w:ilvl w:val="0"/>
          <w:numId w:val="1013"/>
        </w:numPr>
        <w:pStyle w:val="Compact"/>
      </w:pPr>
      <w:r>
        <w:t xml:space="preserve">☐ Completar</w:t>
      </w:r>
      <w:r>
        <w:t xml:space="preserve"> </w:t>
      </w:r>
      <w:r>
        <w:rPr>
          <w:rStyle w:val="VerbatimChar"/>
        </w:rPr>
        <w:t xml:space="preserve">dados/producoes.csv</w:t>
      </w:r>
      <w:r>
        <w:t xml:space="preserve"> </w:t>
      </w:r>
      <w:r>
        <w:t xml:space="preserve">com as produções do grupo (a apresentação no GT CLACSO entrou sem link e sem data exata).</w:t>
      </w:r>
    </w:p>
    <w:p>
      <w:pPr>
        <w:numPr>
          <w:ilvl w:val="0"/>
          <w:numId w:val="1013"/>
        </w:numPr>
        <w:pStyle w:val="Compact"/>
      </w:pPr>
      <w:r>
        <w:t xml:space="preserve">☐ Criar no GitHub os rótulos “correção” e “produção” e combinar quem revisa as sugestões que chegarem pelos formulários.</w:t>
      </w:r>
    </w:p>
    <w:p>
      <w:pPr>
        <w:numPr>
          <w:ilvl w:val="0"/>
          <w:numId w:val="1013"/>
        </w:numPr>
        <w:pStyle w:val="Compact"/>
      </w:pPr>
      <w:r>
        <w:t xml:space="preserve">☐ Revisão da versão em espanhol por falante nativo (termos como “recorte”, “ficha”, “plancha”).</w:t>
      </w:r>
    </w:p>
    <w:p>
      <w:pPr>
        <w:numPr>
          <w:ilvl w:val="0"/>
          <w:numId w:val="1013"/>
        </w:numPr>
        <w:pStyle w:val="Compact"/>
      </w:pPr>
      <w:r>
        <w:t xml:space="preserve">☐</w:t>
      </w:r>
      <w:r>
        <w:t xml:space="preserve"> </w:t>
      </w:r>
      <w:r>
        <w:rPr>
          <w:bCs/>
          <w:b/>
        </w:rPr>
        <w:t xml:space="preserve">DOI no Zenodo:</w:t>
      </w:r>
      <w:r>
        <w:t xml:space="preserve"> </w:t>
      </w:r>
      <w:r>
        <w:t xml:space="preserve">os metadados já estão em</w:t>
      </w:r>
      <w:r>
        <w:t xml:space="preserve"> </w:t>
      </w:r>
      <w:r>
        <w:rPr>
          <w:rStyle w:val="VerbatimChar"/>
        </w:rPr>
        <w:t xml:space="preserve">.zenodo.json</w:t>
      </w:r>
      <w:r>
        <w:t xml:space="preserve">. Falta o responsável entrar em zenodo.org com a conta do GitHub, ativar o repositório</w:t>
      </w:r>
      <w:r>
        <w:t xml:space="preserve"> </w:t>
      </w:r>
      <w:r>
        <w:rPr>
          <w:rStyle w:val="VerbatimChar"/>
        </w:rPr>
        <w:t xml:space="preserve">site-acoes</w:t>
      </w:r>
      <w:r>
        <w:t xml:space="preserve"> </w:t>
      </w:r>
      <w:r>
        <w:t xml:space="preserve">em “GitHub” e criar uma versão (release) no GitHub; o Zenodo gera o DOI, que deve entrar na citação (</w:t>
      </w:r>
      <w:r>
        <w:rPr>
          <w:rStyle w:val="VerbatimChar"/>
        </w:rPr>
        <w:t xml:space="preserve">LICENCAS.md</w:t>
      </w:r>
      <w:r>
        <w:t xml:space="preserve">, Sobre,</w:t>
      </w:r>
      <w:r>
        <w:t xml:space="preserve"> </w:t>
      </w:r>
      <w:r>
        <w:rPr>
          <w:rStyle w:val="VerbatimChar"/>
        </w:rPr>
        <w:t xml:space="preserve">uso.js</w:t>
      </w:r>
      <w:r>
        <w:t xml:space="preserve">,</w:t>
      </w:r>
      <w:r>
        <w:t xml:space="preserve"> </w:t>
      </w:r>
      <w:r>
        <w:rPr>
          <w:rStyle w:val="VerbatimChar"/>
        </w:rPr>
        <w:t xml:space="preserve">CITATION.cff</w:t>
      </w:r>
      <w:r>
        <w:t xml:space="preserve">).</w:t>
      </w:r>
    </w:p>
    <w:p>
      <w:pPr>
        <w:numPr>
          <w:ilvl w:val="0"/>
          <w:numId w:val="1013"/>
        </w:numPr>
        <w:pStyle w:val="Compact"/>
      </w:pPr>
      <w:r>
        <w:t xml:space="preserve">☐ Lista completa de autores da citação (hoje “Souza et al.”), também em</w:t>
      </w:r>
      <w:r>
        <w:t xml:space="preserve"> </w:t>
      </w:r>
      <w:r>
        <w:rPr>
          <w:rStyle w:val="VerbatimChar"/>
        </w:rPr>
        <w:t xml:space="preserve">CITATION.cff</w:t>
      </w:r>
      <w:r>
        <w:t xml:space="preserve"> </w:t>
      </w:r>
      <w:r>
        <w:t xml:space="preserve">e</w:t>
      </w:r>
      <w:r>
        <w:t xml:space="preserve"> </w:t>
      </w:r>
      <w:r>
        <w:rPr>
          <w:rStyle w:val="VerbatimChar"/>
        </w:rPr>
        <w:t xml:space="preserve">.zenodo.json</w:t>
      </w:r>
      <w:r>
        <w:t xml:space="preserve">.</w:t>
      </w:r>
    </w:p>
    <w:p>
      <w:pPr>
        <w:numPr>
          <w:ilvl w:val="0"/>
          <w:numId w:val="1013"/>
        </w:numPr>
        <w:pStyle w:val="Compact"/>
      </w:pPr>
      <w:r>
        <w:t xml:space="preserve">☐</w:t>
      </w:r>
      <w:r>
        <w:t xml:space="preserve"> </w:t>
      </w:r>
      <w:r>
        <w:rPr>
          <w:bCs/>
          <w:b/>
        </w:rPr>
        <w:t xml:space="preserve">Unificar nomes de organizações duplicados</w:t>
      </w:r>
      <w:r>
        <w:t xml:space="preserve"> </w:t>
      </w:r>
      <w:r>
        <w:t xml:space="preserve">(ex.: grafias diferentes de CTA e CGT). Afeta contagens, fichas e redes.</w:t>
      </w:r>
    </w:p>
    <w:p>
      <w:pPr>
        <w:numPr>
          <w:ilvl w:val="0"/>
          <w:numId w:val="1013"/>
        </w:numPr>
        <w:pStyle w:val="Compact"/>
      </w:pPr>
      <w:r>
        <w:t xml:space="preserve">☐ Resultado do</w:t>
      </w:r>
      <w:r>
        <w:t xml:space="preserve"> </w:t>
      </w:r>
      <w:r>
        <w:rPr>
          <w:bCs/>
          <w:b/>
        </w:rPr>
        <w:t xml:space="preserve">2º turno de 2023</w:t>
      </w:r>
      <w:r>
        <w:t xml:space="preserve"> </w:t>
      </w:r>
      <w:r>
        <w:t xml:space="preserve">por departamento, se a DINE publicar no formato mesa a mesa.</w:t>
      </w:r>
    </w:p>
    <w:p>
      <w:pPr>
        <w:numPr>
          <w:ilvl w:val="0"/>
          <w:numId w:val="1013"/>
        </w:numPr>
        <w:pStyle w:val="Compact"/>
      </w:pPr>
      <w:r>
        <w:t xml:space="preserve">☐ Outras fontes sugeridas e ainda não coletadas: estudantes de universidades nacionais por província, emprego público por província, titulares do Potenciar Trabajo, projetos de mineração e comunidades indígenas registradas.</w:t>
      </w:r>
    </w:p>
    <w:p>
      <w:pPr>
        <w:numPr>
          <w:ilvl w:val="0"/>
          <w:numId w:val="1013"/>
        </w:numPr>
        <w:pStyle w:val="Compact"/>
      </w:pPr>
      <w:r>
        <w:t xml:space="preserve">☐ Atualizar o ReNaTEP e o RENABAP quando houver versões oficiais mais recentes.</w:t>
      </w:r>
    </w:p>
    <w:p>
      <w:pPr>
        <w:numPr>
          <w:ilvl w:val="0"/>
          <w:numId w:val="1013"/>
        </w:numPr>
        <w:pStyle w:val="Compact"/>
      </w:pPr>
      <w:r>
        <w:t xml:space="preserve">☐ Revisar a codificação de casos em que organizações da economia popular aparecem também como “movimientos sindicales”.</w:t>
      </w:r>
    </w:p>
    <w:bookmarkEnd w:id="52"/>
    <w:bookmarkEnd w:id="53"/>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C8AA0"/>
        <w:sz w:val="16"/>
      </w:rPr>
      <w:t>DATALUTA · Movimentos Socioespaciais e Socioterritoriais Urbanos Argentinos (2024) · Processo de construção da base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00" w:before="180"/>
    </w:pPr>
    <w:qFormat/>
    <w:rPr>
      <w:rFonts w:ascii="Calibri" w:cs="Calibri" w:eastAsia="Calibri" w:hAnsi="Calibri"/>
    </w:rPr>
  </w:style>
  <w:style w:customStyle="1" w:styleId="FirstParagraph" w:type="paragraph">
    <w:name w:val="First Paragraph"/>
    <w:basedOn w:val="BodyText"/>
    <w:next w:val="BodyText"/>
    <w:qFormat/>
    <w:pPr>
      <w:spacing w:after="100"/>
    </w:pPr>
    <w:rPr>
      <w:rFonts w:ascii="Calibri" w:cs="Calibri" w:eastAsia="Calibri" w:hAnsi="Calibri"/>
    </w:rPr>
  </w:style>
  <w:style w:customStyle="1" w:styleId="Compact" w:type="paragraph">
    <w:name w:val="Compact"/>
    <w:basedOn w:val="BodyText"/>
    <w:qFormat/>
    <w:pPr>
      <w:spacing w:after="100" w:before="36"/>
    </w:pPr>
    <w:rPr>
      <w:rFonts w:ascii="Calibri" w:cs="Calibri" w:eastAsia="Calibri" w:hAnsi="Calibri"/>
    </w:rPr>
  </w:style>
  <w:style w:styleId="Title" w:type="paragraph">
    <w:name w:val="Title"/>
    <w:basedOn w:val="Normal"/>
    <w:next w:val="BodyText"/>
    <w:qFormat/>
    <w:pPr>
      <w:keepNext/>
      <w:keepLines/>
      <w:spacing w:after="80" w:before="200"/>
      <w:jc w:val="center"/>
    </w:pPr>
    <w:rPr>
      <w:rFonts w:ascii="Calibri" w:asciiTheme="majorHAnsi" w:cs="Calibri" w:cstheme="majorBidi" w:eastAsia="Calibri" w:eastAsiaTheme="majorEastAsia" w:hAnsi="Calibri" w:hAnsiTheme="majorHAnsi"/>
      <w:b/>
      <w:bCs/>
      <w:color w:val="13294B"/>
      <w:sz w:val="44"/>
      <w:szCs w:val="36"/>
    </w:rPr>
  </w:style>
  <w:style w:styleId="Subtitle" w:type="paragraph">
    <w:name w:val="Subtitle"/>
    <w:basedOn w:val="Title"/>
    <w:next w:val="BodyText"/>
    <w:qFormat/>
    <w:pPr>
      <w:keepNext/>
      <w:keepLines/>
      <w:spacing w:after="240" w:before="240"/>
      <w:jc w:val="center"/>
    </w:pPr>
    <w:rPr>
      <w:rFonts w:ascii="Calibri" w:cs="Calibri" w:eastAsia="Calibri" w:hAnsi="Calibri"/>
      <w:sz w:val="30"/>
      <w:szCs w:val="30"/>
    </w:rPr>
  </w:style>
  <w:style w:customStyle="1" w:styleId="Author" w:type="paragraph">
    <w:name w:val="Author"/>
    <w:next w:val="BodyText"/>
    <w:qFormat/>
    <w:pPr>
      <w:keepNext/>
      <w:keepLines/>
      <w:jc w:val="center"/>
    </w:pPr>
    <w:rPr>
      <w:rFonts w:ascii="Calibri" w:cs="Calibri" w:eastAsia="Calibri" w:hAnsi="Calibri"/>
    </w:rPr>
  </w:style>
  <w:style w:styleId="Date" w:type="paragraph">
    <w:name w:val="Date"/>
    <w:next w:val="BodyText"/>
    <w:qFormat/>
    <w:pPr>
      <w:keepNext/>
      <w:keepLines/>
      <w:jc w:val="center"/>
    </w:pPr>
    <w:rPr>
      <w:rFonts w:ascii="Calibri" w:cs="Calibri" w:eastAsia="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cs="Calibri" w:eastAsia="Calibri" w:hAnsi="Calibri"/>
      <w:b/>
      <w:color w:val="345A8A"/>
      &gt;
    </w:rPr>
  </w:style>
  <w:style w:customStyle="1" w:styleId="Abstract" w:type="paragraph">
    <w:name w:val="Abstract"/>
    <w:basedOn w:val="Normal"/>
    <w:next w:val="BodyText"/>
    <w:qFormat/>
    <w:pPr>
      <w:keepNext/>
      <w:keepLines/>
      <w:spacing w:after="300" w:before="100"/>
    </w:pPr>
    <w:rPr>
      <w:rFonts w:ascii="Calibri" w:cs="Calibri" w:eastAsia="Calibri" w:hAnsi="Calibri"/>
      <w:sz w:val="20"/>
      <w:szCs w:val="20"/>
    </w:rPr>
  </w:style>
  <w:style w:styleId="Bibliography" w:type="paragraph">
    <w:name w:val="Bibliography"/>
    <w:basedOn w:val="Normal"/>
    <w:next w:val="Bibliography"/>
    <w:qFormat/>
    <w:pPr/>
    <w:rPr>
      <w:rFonts w:ascii="Calibri" w:cs="Calibri" w:eastAsia="Calibri" w:hAnsi="Calibri"/>
    </w:rPr>
  </w:style>
  <w:style w:styleId="Heading1" w:type="paragraph">
    <w:name w:val="Heading 1"/>
    <w:basedOn w:val="Normal"/>
    <w:next w:val="BodyText"/>
    <w:uiPriority w:val="9"/>
    <w:qFormat/>
    <w:pPr>
      <w:keepNext/>
      <w:keepLines/>
      <w:spacing w:after="80" w:before="280"/>
      <w:outlineLvl w:val="0"/>
    </w:pPr>
    <w:rPr>
      <w:rFonts w:ascii="Calibri" w:asciiTheme="majorHAnsi" w:cs="Calibri" w:cstheme="majorBidi" w:eastAsia="Calibri" w:eastAsiaTheme="majorEastAsia" w:hAnsi="Calibri" w:hAnsiTheme="majorHAnsi"/>
      <w:b/>
      <w:bCs/>
      <w:color w:val="13294B"/>
      <w:sz w:val="32"/>
      <w:szCs w:val="32"/>
    </w:rPr>
  </w:style>
  <w:style w:styleId="Heading2" w:type="paragraph">
    <w:name w:val="Heading 2"/>
    <w:basedOn w:val="Normal"/>
    <w:next w:val="BodyText"/>
    <w:uiPriority w:val="9"/>
    <w:unhideWhenUsed/>
    <w:qFormat/>
    <w:pPr>
      <w:keepNext/>
      <w:keepLines/>
      <w:spacing w:after="80" w:before="200"/>
      <w:outlineLvl w:val="1"/>
    </w:pPr>
    <w:rPr>
      <w:rFonts w:ascii="Calibri" w:asciiTheme="majorHAnsi" w:cs="Calibri" w:cstheme="majorBidi" w:eastAsia="Calibri" w:eastAsiaTheme="majorEastAsia" w:hAnsi="Calibri" w:hAnsiTheme="majorHAnsi"/>
      <w:b/>
      <w:bCs/>
      <w:color w:val="2569AD"/>
      <w:sz w:val="26"/>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Calibri" w:cstheme="majorBidi" w:eastAsia="Calibri" w:eastAsiaTheme="majorEastAsia" w:hAnsi="Calibri" w:hAnsiTheme="majorHAnsi"/>
      <w:b/>
      <w:bCs/>
      <w:color w:val="C45A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Calibri" w:cstheme="majorBidi" w:eastAsia="Calibr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Calibri" w:cstheme="majorBidi" w:eastAsia="Calibr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Calibri" w:cstheme="majorBidi" w:eastAsia="Calibr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Calibri" w:cstheme="majorBidi" w:eastAsia="Calibr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Calibri" w:cstheme="majorBidi" w:eastAsia="Calibr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Calibri" w:cstheme="majorBidi" w:eastAsia="Calibr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rPr>
  </w:style>
  <w:style w:styleId="FootnoteText" w:type="paragraph">
    <w:name w:val="Footnote Text"/>
    <w:basedOn w:val="Normal"/>
    <w:next w:val="FootnoteText"/>
    <w:uiPriority w:val="9"/>
    <w:unhideWhenUsed/>
    <w:qFormat/>
    <w:rPr>
      <w:rFonts w:ascii="Calibri" w:cs="Calibri" w:eastAsia="Calibri" w:hAnsi="Calibri"/>
    </w:rPr>
  </w:style>
  <w:style w:default="1" w:styleId="DefaultParagraphFont" w:type="character">
    <w:name w:val="Default Paragraph Font"/>
    <w:semiHidden/>
    <w:unhideWhenUsed/>
    <w:rPr>
      <w:rFonts w:ascii="Calibri" w:cs="Calibri" w:eastAsia="Calibri" w:hAnsi="Calibri"/>
    </w:rPr>
  </w:style>
  <w:style w:default="1" w:styleId="Table" w:type="table">
    <w:name w:val="Table"/>
    <w:basedOn w:val="TableNormal"/>
    <w:semiHidden/>
    <w:unhideWhenUsed/>
    <w:qFormat/>
    <w:rPr>
      <w:rFonts w:ascii="Calibri" w:cs="Calibri" w:eastAsia="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cs="Calibri" w:eastAsia="Calibri" w:hAnsi="Calibri"/>
      <w:b/>
    </w:rPr>
  </w:style>
  <w:style w:customStyle="1" w:styleId="Definition" w:type="paragraph">
    <w:name w:val="Definition"/>
    <w:basedOn w:val="Normal"/>
    <w:rPr>
      <w:rFonts w:ascii="Calibri" w:cs="Calibri" w:eastAsia="Calibri" w:hAnsi="Calibri"/>
    </w:rPr>
  </w:style>
  <w:style w:styleId="Caption" w:type="paragraph">
    <w:name w:val="Caption"/>
    <w:basedOn w:val="Normal"/>
    <w:link w:val="BodyTextChar"/>
    <w:pPr>
      <w:spacing w:after="120" w:before="0"/>
    </w:pPr>
    <w:rPr>
      <w:rFonts w:ascii="Calibri" w:cs="Calibri" w:eastAsia="Calibri" w:hAnsi="Calibri"/>
      <w:i/>
    </w:rPr>
  </w:style>
  <w:style w:customStyle="1" w:styleId="TableCaption" w:type="paragraph">
    <w:name w:val="Table Caption"/>
    <w:basedOn w:val="Caption"/>
    <w:pPr>
      <w:keepNext/>
    </w:pPr>
    <w:rPr>
      <w:rFonts w:ascii="Calibri" w:cs="Calibri" w:eastAsia="Calibri" w:hAnsi="Calibri"/>
    </w:rPr>
  </w:style>
  <w:style w:customStyle="1" w:styleId="ImageCaption" w:type="paragraph">
    <w:name w:val="Image Caption"/>
    <w:basedOn w:val="Caption"/>
    <w:rPr>
      <w:rFonts w:ascii="Calibri" w:cs="Calibri" w:eastAsia="Calibri" w:hAnsi="Calibri"/>
    </w:rPr>
  </w:style>
  <w:style w:customStyle="1" w:styleId="Figure" w:type="paragraph">
    <w:name w:val="Figure"/>
    <w:basedOn w:val="Normal"/>
    <w:rPr>
      <w:rFonts w:ascii="Calibri" w:cs="Calibri" w:eastAsia="Calibri" w:hAnsi="Calibri"/>
    </w:rPr>
  </w:style>
  <w:style w:customStyle="1" w:styleId="CaptionedFigure" w:type="paragraph">
    <w:name w:val="Captioned Figure"/>
    <w:basedOn w:val="Figure"/>
    <w:pPr>
      <w:keepNext/>
    </w:pPr>
    <w:rPr>
      <w:rFonts w:ascii="Calibri" w:cs="Calibri" w:eastAsia="Calibri" w:hAnsi="Calibri"/>
    </w:rPr>
  </w:style>
  <w:style w:customStyle="1" w:styleId="BodyTextChar" w:type="character">
    <w:name w:val="Body Text Char"/>
    <w:basedOn w:val="DefaultParagraphFont"/>
    <w:link w:val="BodyText"/>
    <w:rPr>
      <w:rFonts w:ascii="Calibri" w:cs="Calibri" w:eastAsia="Calibri" w:hAnsi="Calibri"/>
    </w:rPr>
  </w:style>
  <w:style w:customStyle="1" w:styleId="VerbatimChar" w:type="character">
    <w:name w:val="Verbatim Char"/>
    <w:basedOn w:val="BodyTextChar"/>
    <w:rPr>
      <w:rFonts w:ascii="Consolas" w:cs="Calibri" w:eastAsia="Calibri" w:hAnsi="Consolas"/>
      <w:sz w:val="17"/>
    </w:rPr>
  </w:style>
  <w:style w:customStyle="1" w:styleId="SectionNumber" w:type="character">
    <w:name w:val="Section Number"/>
    <w:basedOn w:val="BodyTextChar"/>
    <w:rPr>
      <w:rFonts w:ascii="Calibri" w:cs="Calibri" w:eastAsia="Calibri" w:hAnsi="Calibri"/>
    </w:rPr>
  </w:style>
  <w:style w:styleId="FootnoteReference" w:type="character">
    <w:name w:val="Footnote Reference"/>
    <w:basedOn w:val="BodyTextChar"/>
    <w:rPr>
      <w:rFonts w:ascii="Calibri" w:cs="Calibri" w:eastAsia="Calibri" w:hAnsi="Calibri"/>
      <w:vertAlign w:val="superscript"/>
    </w:rPr>
  </w:style>
  <w:style w:styleId="Hyperlink" w:type="character">
    <w:name w:val="Hyperlink"/>
    <w:basedOn w:val="BodyTextChar"/>
    <w:rPr>
      <w:rFonts w:ascii="Calibri" w:cs="Calibri" w:eastAsia="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Calibri" w:cstheme="majorBidi" w:eastAsia="Calibr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2026-11-01T06:10:54Z</dcterms:created>
  <dcterms:modified xsi:type="dcterms:W3CDTF">2026-11-01T06:10:54Z</dcterms:modified>
</cp:coreProperties>
</file>

<file path=docProps/custom.xml><?xml version="1.0" encoding="utf-8"?>
<Properties xmlns="http://schemas.openxmlformats.org/officeDocument/2006/custom-properties" xmlns:vt="http://schemas.openxmlformats.org/officeDocument/2006/docPropsVTypes"/>
</file>