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1.3 · 19/10/2026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</w:t>
      </w:r>
      <w:r>
        <w:br/>
      </w:r>
      <w:r>
        <w:br/>
      </w:r>
      <w:r>
        <w:rPr>
          <w:rStyle w:val="CommentTok"/>
        </w:rPr>
        <w:t xml:space="preserve"># 6. Publicar: enviar ao ramo main; o GitHub Actions (.github/workflows/publicar.yml) repete 2–4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6.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8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OFL), ilustração de marcha gerada a partir dos objetivos mais frequentes da base; mapas em Arial para exportação estável.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11 abas e clica nas 139 combinações prontas: sem erros (19/10/2026)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0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5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5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5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5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5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5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5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5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0"/>
    <w:bookmarkStart w:id="41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6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07"/>
        </w:numPr>
        <w:pStyle w:val="Compact"/>
      </w:pPr>
      <w:r>
        <w:t xml:space="preserve">☐ Confirmar a escolha das licenças com o grupo/centro de pesquisa e, se houver, com a política de dados da instituição.</w:t>
      </w:r>
    </w:p>
    <w:p>
      <w:pPr>
        <w:numPr>
          <w:ilvl w:val="0"/>
          <w:numId w:val="1007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07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07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07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07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3"/>
    <w:bookmarkEnd w:id="44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2026-10-19T18:08:01Z</dcterms:created>
  <dcterms:modified xsi:type="dcterms:W3CDTF">2026-10-19T18:08:01Z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