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Xa2da3811f05494e056d19a3aa3e79062f38da32"/>
    <w:p>
      <w:pPr>
        <w:pStyle w:val="Heading1"/>
      </w:pPr>
      <w:r>
        <w:t xml:space="preserve">Processo de construção da base · DATALUTA Argentina 2024</w:t>
      </w:r>
    </w:p>
    <w:p>
      <w:pPr>
        <w:pStyle w:val="FirstParagraph"/>
      </w:pPr>
      <w:r>
        <w:rPr>
          <w:bCs/>
          <w:b/>
        </w:rPr>
        <w:t xml:space="preserve">Banco de Dados das Lutas por Espaços e Territórios (DATALUTA) Argentina 2024 · Movimentos Socioespaciais e Socioterritoriais Urbanos</w:t>
      </w:r>
    </w:p>
    <w:p>
      <w:pPr>
        <w:pStyle w:val="BodyText"/>
      </w:pPr>
      <w:r>
        <w:t xml:space="preserve">Este documento registra, de forma cumulativa, tudo o que foi feito para transformar a planilha de codificação das notícias na base interativa publicada. Serve de memória metodológica, de roteiro para refazer a base do zero e de registro das decisões tomadas a cada etapa.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C9D6E3"/>
          <w:left w:val="single" w:sz="4" w:color="C9D6E3"/>
          <w:bottom w:val="single" w:sz="4" w:color="C9D6E3"/>
          <w:right w:val="single" w:sz="4" w:color="C9D6E3"/>
          <w:insideH w:val="single" w:sz="4" w:color="C9D6E3"/>
          <w:insideV w:val="single" w:sz="4" w:color="C9D6E3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EAF3FB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sz w:val="18"/>
              </w:rPr>
              <w:t xml:space="preserve">Item</w:t>
            </w:r>
          </w:p>
        </w:tc>
        <w:tc>
          <w:tcPr>
            <w:shd w:val="clear" w:color="auto" w:fill="EAF3FB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sz w:val="18"/>
              </w:rPr>
              <w:t xml:space="preserve">Informação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Responsável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Wilians Ventura Ferreira Souza (Unesp)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Site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hyperlink r:id="rId20">
              <w:r>
                <w:rPr>
                  <w:rStyle w:val="Hyperlink"/>
                </w:rPr>
                <w:t xml:space="preserve">https://wiliansventura98-collab.github.io/site-acoes/</w:t>
              </w:r>
            </w:hyperlink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(base interativa em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/base/</w:t>
            </w:r>
            <w:r>
              <w:rPr>
                <w:sz w:val="18"/>
              </w:rPr>
              <w:t xml:space="preserve">, página de metodologia em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/sobre/</w:t>
            </w:r>
            <w:r>
              <w:rPr>
                <w:sz w:val="18"/>
              </w:rPr>
              <w:t xml:space="preserve">, versão em espanhol em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/es/</w:t>
            </w:r>
            <w:r>
              <w:rPr>
                <w:sz w:val="18"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Repositório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hyperlink r:id="rId21">
              <w:r>
                <w:rPr>
                  <w:rStyle w:val="Hyperlink"/>
                </w:rPr>
                <w:t xml:space="preserve">https://github.com/wiliansventura98-collab/site-acoes</w:t>
              </w:r>
            </w:hyperlink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Versão deste documento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1.5 · 30/10/2026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Versão em Word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hyperlink r:id="rId22">
              <w:r>
                <w:rPr>
                  <w:rStyle w:val="VerbatimChar"/>
                </w:rPr>
                <w:t xml:space="preserve">PROCESSO.docx</w:t>
              </w:r>
            </w:hyperlink>
            <w:r>
              <w:rPr>
                <w:sz w:val="18"/>
              </w:rPr>
              <w:t xml:space="preserve">, gerada por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python pipeline/gerar_processo_docx.py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Licença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Base de dados: CC BY 4.0 · código: MIT (ver</w:t>
            </w:r>
            <w:r>
              <w:rPr>
                <w:sz w:val="18"/>
              </w:rPr>
              <w:t xml:space="preserve"> </w:t>
            </w:r>
            <w:hyperlink r:id="rId23">
              <w:r>
                <w:rPr>
                  <w:rStyle w:val="VerbatimChar"/>
                </w:rPr>
                <w:t xml:space="preserve">LICENCAS.md</w:t>
              </w:r>
            </w:hyperlink>
            <w:r>
              <w:rPr>
                <w:sz w:val="18"/>
              </w:rPr>
              <w:t xml:space="preserve">)</w:t>
            </w:r>
          </w:p>
        </w:tc>
      </w:tr>
    </w:tbl>
    <w:p>
      <w:pPr>
        <w:pStyle w:val="BlockText"/>
      </w:pPr>
      <w:r>
        <w:rPr>
          <w:bCs/>
          <w:b/>
        </w:rPr>
        <w:t xml:space="preserve">Como manter este documento.</w:t>
      </w:r>
      <w:r>
        <w:t xml:space="preserve"> </w:t>
      </w:r>
      <w:r>
        <w:t xml:space="preserve">A cada avanço (correção da base, nova variável, nova fonte, nova análise ou mudança de critério): (1) atualize a seção correspondente; (2) acrescente uma entrada no</w:t>
      </w:r>
      <w:r>
        <w:t xml:space="preserve"> </w:t>
      </w:r>
      <w:hyperlink w:anchor="X37a24ddc49ec6a08847d5e7c09b751dfa640a32">
        <w:r>
          <w:rPr>
            <w:rStyle w:val="Hyperlink"/>
          </w:rPr>
          <w:t xml:space="preserve">Registro de alterações</w:t>
        </w:r>
      </w:hyperlink>
      <w:r>
        <w:t xml:space="preserve">, com data, o que mudou e por quê; (3) mova o que foi resolvido para fora das</w:t>
      </w:r>
      <w:r>
        <w:t xml:space="preserve"> </w:t>
      </w:r>
      <w:hyperlink w:anchor="X3d9f82193e44c2a113d49ff9b97f8db3ae86c66">
        <w:r>
          <w:rPr>
            <w:rStyle w:val="Hyperlink"/>
          </w:rPr>
          <w:t xml:space="preserve">Pendências</w:t>
        </w:r>
      </w:hyperlink>
      <w:r>
        <w:t xml:space="preserve">; (4) aumente o número da versão; (5) gere de novo a versão em Word com</w:t>
      </w:r>
      <w:r>
        <w:t xml:space="preserve"> </w:t>
      </w:r>
      <w:r>
        <w:rPr>
          <w:rStyle w:val="VerbatimChar"/>
        </w:rPr>
        <w:t xml:space="preserve">python pipeline/gerar_processo_docx.py</w:t>
      </w:r>
      <w:r>
        <w:t xml:space="preserve">. O documento é versionado junto com o código, então o histórico do Git guarda todas as versões anteriores.</w:t>
      </w:r>
    </w:p>
    <w:p>
      <w:r>
        <w:pict>
          <v:rect style="width:0;height:1.5pt" o:hralign="center" o:hrstd="t" o:hr="t"/>
        </w:pict>
      </w:r>
    </w:p>
    <w:bookmarkStart w:id="24" w:name="sumário"/>
    <w:p>
      <w:pPr>
        <w:pStyle w:val="Heading2"/>
      </w:pPr>
      <w:r>
        <w:t xml:space="preserve">Sumário</w:t>
      </w:r>
    </w:p>
    <w:p>
      <w:pPr>
        <w:numPr>
          <w:ilvl w:val="0"/>
          <w:numId w:val="1001"/>
        </w:numPr>
        <w:pStyle w:val="Compact"/>
      </w:pPr>
      <w:hyperlink w:anchor="Xe34d9c7c9c5b7fef514416b308db245f9e26992">
        <w:r>
          <w:rPr>
            <w:rStyle w:val="Hyperlink"/>
          </w:rPr>
          <w:t xml:space="preserve">Visão geral</w:t>
        </w:r>
      </w:hyperlink>
    </w:p>
    <w:p>
      <w:pPr>
        <w:numPr>
          <w:ilvl w:val="0"/>
          <w:numId w:val="1001"/>
        </w:numPr>
        <w:pStyle w:val="Compact"/>
      </w:pPr>
      <w:hyperlink w:anchor="X1cc79192f98ed87b6ef02b50802cdf90e11bb09">
        <w:r>
          <w:rPr>
            <w:rStyle w:val="Hyperlink"/>
          </w:rPr>
          <w:t xml:space="preserve">Roteiro para refazer a base</w:t>
        </w:r>
      </w:hyperlink>
    </w:p>
    <w:p>
      <w:pPr>
        <w:numPr>
          <w:ilvl w:val="0"/>
          <w:numId w:val="1001"/>
        </w:numPr>
        <w:pStyle w:val="Compact"/>
      </w:pPr>
      <w:hyperlink w:anchor="X2859d0823022a7c52bda876a1a5d163769dd958">
        <w:r>
          <w:rPr>
            <w:rStyle w:val="Hyperlink"/>
          </w:rPr>
          <w:t xml:space="preserve">Privacidade e anonimização</w:t>
        </w:r>
      </w:hyperlink>
    </w:p>
    <w:p>
      <w:pPr>
        <w:numPr>
          <w:ilvl w:val="0"/>
          <w:numId w:val="1001"/>
        </w:numPr>
        <w:pStyle w:val="Compact"/>
      </w:pPr>
      <w:hyperlink w:anchor="X3b573216b0059f88763bc966056283587d7a53e">
        <w:r>
          <w:rPr>
            <w:rStyle w:val="Hyperlink"/>
          </w:rPr>
          <w:t xml:space="preserve">Tratamento das notícias</w:t>
        </w:r>
      </w:hyperlink>
    </w:p>
    <w:p>
      <w:pPr>
        <w:numPr>
          <w:ilvl w:val="0"/>
          <w:numId w:val="1001"/>
        </w:numPr>
        <w:pStyle w:val="Compact"/>
      </w:pPr>
      <w:hyperlink w:anchor="Xfedde9b5bea7aaf84fb89824dd9bb669bfc0d5b">
        <w:r>
          <w:rPr>
            <w:rStyle w:val="Hyperlink"/>
          </w:rPr>
          <w:t xml:space="preserve">Espaço: geocodificação e limites</w:t>
        </w:r>
      </w:hyperlink>
    </w:p>
    <w:p>
      <w:pPr>
        <w:numPr>
          <w:ilvl w:val="0"/>
          <w:numId w:val="1001"/>
        </w:numPr>
        <w:pStyle w:val="Compact"/>
      </w:pPr>
      <w:hyperlink w:anchor="X49567ca4f9361cfb8ea9fa1278932e505983f63">
        <w:r>
          <w:rPr>
            <w:rStyle w:val="Hyperlink"/>
          </w:rPr>
          <w:t xml:space="preserve">Indicadores de contexto</w:t>
        </w:r>
      </w:hyperlink>
    </w:p>
    <w:p>
      <w:pPr>
        <w:numPr>
          <w:ilvl w:val="0"/>
          <w:numId w:val="1001"/>
        </w:numPr>
        <w:pStyle w:val="Compact"/>
      </w:pPr>
      <w:hyperlink w:anchor="X6d348273175772d54216bfc7432a22c556cacdc">
        <w:r>
          <w:rPr>
            <w:rStyle w:val="Hyperlink"/>
          </w:rPr>
          <w:t xml:space="preserve">O site: abas, medidas e critérios</w:t>
        </w:r>
      </w:hyperlink>
    </w:p>
    <w:p>
      <w:pPr>
        <w:numPr>
          <w:ilvl w:val="0"/>
          <w:numId w:val="1001"/>
        </w:numPr>
        <w:pStyle w:val="Compact"/>
      </w:pPr>
      <w:hyperlink w:anchor="X9a8a5c3f4675aaafcd01bef6e7fb33b3e7de441">
        <w:r>
          <w:rPr>
            <w:rStyle w:val="Hyperlink"/>
          </w:rPr>
          <w:t xml:space="preserve">Verificações de qualidade</w:t>
        </w:r>
      </w:hyperlink>
    </w:p>
    <w:p>
      <w:pPr>
        <w:numPr>
          <w:ilvl w:val="0"/>
          <w:numId w:val="1001"/>
        </w:numPr>
        <w:pStyle w:val="Compact"/>
      </w:pPr>
      <w:hyperlink w:anchor="X37a24ddc49ec6a08847d5e7c09b751dfa640a32">
        <w:r>
          <w:rPr>
            <w:rStyle w:val="Hyperlink"/>
          </w:rPr>
          <w:t xml:space="preserve">Registro de alterações</w:t>
        </w:r>
      </w:hyperlink>
    </w:p>
    <w:p>
      <w:pPr>
        <w:numPr>
          <w:ilvl w:val="0"/>
          <w:numId w:val="1001"/>
        </w:numPr>
        <w:pStyle w:val="Compact"/>
      </w:pPr>
      <w:hyperlink w:anchor="X3d9f82193e44c2a113d49ff9b97f8db3ae86c66">
        <w:r>
          <w:rPr>
            <w:rStyle w:val="Hyperlink"/>
          </w:rPr>
          <w:t xml:space="preserve">Pendências</w:t>
        </w:r>
      </w:hyperlink>
    </w:p>
    <w:p>
      <w:r>
        <w:pict>
          <v:rect style="width:0;height:1.5pt" o:hralign="center" o:hrstd="t" o:hr="t"/>
        </w:pict>
      </w:r>
    </w:p>
    <w:bookmarkEnd w:id="24"/>
    <w:bookmarkStart w:id="25" w:name="Xe34d9c7c9c5b7fef514416b308db245f9e26992"/>
    <w:p>
      <w:pPr>
        <w:pStyle w:val="Heading2"/>
      </w:pPr>
      <w:r>
        <w:t xml:space="preserve">1. Visão geral</w:t>
      </w:r>
    </w:p>
    <w:p>
      <w:pPr>
        <w:pStyle w:val="FirstParagraph"/>
      </w:pPr>
      <w:r>
        <w:rPr>
          <w:bCs/>
          <w:b/>
        </w:rPr>
        <w:t xml:space="preserve">Objeto.</w:t>
      </w:r>
      <w:r>
        <w:t xml:space="preserve"> </w:t>
      </w:r>
      <w:r>
        <w:t xml:space="preserve">Notícias de imprensa sobre ações coletivas de movimentos sociais na Argentina em 2024, lidas na íntegra e codificadas por pesquisadoras e pesquisadores numa ficha padronizada (formulário com 22 variáveis exploráveis: tempo, ação, protagonistas, instituições, espaço e fonte).</w:t>
      </w:r>
    </w:p>
    <w:p>
      <w:pPr>
        <w:pStyle w:val="BodyText"/>
      </w:pPr>
      <w:r>
        <w:rPr>
          <w:bCs/>
          <w:b/>
        </w:rPr>
        <w:t xml:space="preserve">Números atuais da base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C9D6E3"/>
          <w:left w:val="single" w:sz="4" w:color="C9D6E3"/>
          <w:bottom w:val="single" w:sz="4" w:color="C9D6E3"/>
          <w:right w:val="single" w:sz="4" w:color="C9D6E3"/>
          <w:insideH w:val="single" w:sz="4" w:color="C9D6E3"/>
          <w:insideV w:val="single" w:sz="4" w:color="C9D6E3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EAF3FB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sz w:val="18"/>
              </w:rPr>
              <w:t xml:space="preserve">Medida</w:t>
            </w:r>
          </w:p>
        </w:tc>
        <w:tc>
          <w:tcPr>
            <w:shd w:val="clear" w:color="auto" w:fill="EAF3FB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sz w:val="18"/>
              </w:rPr>
              <w:t xml:space="preserve">Valor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Notícias codificadas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1.019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Notícias únicas (usadas por padrão)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934 (85 marcadas como repetidas)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Variáveis exploráveis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22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Organizações nomeadas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822 a 867, conforme a regra de contagem (ver seção 4)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Províncias com notícias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24 jurisdições (23 províncias e CABA)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Localidades citadas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130 com ponto no mapa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Veículos de imprensa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508 a 514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Período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02/01/2024 a 29/12/2024</w:t>
            </w:r>
          </w:p>
        </w:tc>
      </w:tr>
    </w:tbl>
    <w:p>
      <w:pPr>
        <w:pStyle w:val="BodyText"/>
      </w:pPr>
      <w:r>
        <w:rPr>
          <w:bCs/>
          <w:b/>
        </w:rPr>
        <w:t xml:space="preserve">Arquitetura.</w:t>
      </w:r>
      <w:r>
        <w:t xml:space="preserve"> </w:t>
      </w:r>
      <w:r>
        <w:t xml:space="preserve">A planilha original nunca é publicada. Um pipeline em Python gera a versão publicável e todos os arquivos de dados. O site é estático (HTML, CSS e JavaScript), hospedado no GitHub Pages. A cada envio ao ramo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o GitHub Actions verifica a privacidade, roda o pipeline, salva os dados gerados e publica.</w:t>
      </w:r>
    </w:p>
    <w:p>
      <w:pPr>
        <w:pStyle w:val="SourceCode"/>
      </w:pPr>
      <w:r>
        <w:rPr>
          <w:rStyle w:val="VerbatimChar"/>
        </w:rPr>
        <w:t xml:space="preserve">planilha .xlsx (privada)</w:t>
      </w:r>
      <w:r>
        <w:br/>
      </w:r>
      <w:r>
        <w:rPr>
          <w:rStyle w:val="VerbatimChar"/>
        </w:rPr>
        <w:t xml:space="preserve">   │  anonimizar.py            ← descarta nome, sobrenome e e-mail de quem codificou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dados/fonte/acoes_2024_fonte.csv (publicável)</w:t>
      </w:r>
      <w:r>
        <w:br/>
      </w:r>
      <w:r>
        <w:rPr>
          <w:rStyle w:val="VerbatimChar"/>
        </w:rPr>
        <w:t xml:space="preserve">   │  construir_site.py</w:t>
      </w:r>
      <w:r>
        <w:br/>
      </w:r>
      <w:r>
        <w:rPr>
          <w:rStyle w:val="VerbatimChar"/>
        </w:rPr>
        <w:t xml:space="preserve">   │    ├─ preparar_dados.py   ← separa valores múltiplos, unifica grafias, deriva o espaço</w:t>
      </w:r>
      <w:r>
        <w:br/>
      </w:r>
      <w:r>
        <w:rPr>
          <w:rStyle w:val="VerbatimChar"/>
        </w:rPr>
        <w:t xml:space="preserve">   │    ├─ geocodificar.py     ← posiciona as localidades</w:t>
      </w:r>
      <w:r>
        <w:br/>
      </w:r>
      <w:r>
        <w:rPr>
          <w:rStyle w:val="VerbatimChar"/>
        </w:rPr>
        <w:t xml:space="preserve">   │    └─ referências         ← limites, população, Censo, RENABAP, ReNaTEP, eleições, femicídios…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dados/base.json · geo.json · resumo.json · acoes_2024.csv · dicionario.md</w:t>
      </w:r>
      <w:r>
        <w:br/>
      </w:r>
      <w:r>
        <w:rPr>
          <w:rStyle w:val="VerbatimChar"/>
        </w:rPr>
        <w:t xml:space="preserve">dados/contexto_censo2022_departamentos.csv · relatorio_geocodificacao.csv · camadas/acoes_2024.gpkg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site estático: index.html (início) e base/ (base interativa)</w:t>
      </w:r>
    </w:p>
    <w:p>
      <w:r>
        <w:pict>
          <v:rect style="width:0;height:1.5pt" o:hralign="center" o:hrstd="t" o:hr="t"/>
        </w:pict>
      </w:r>
    </w:p>
    <w:bookmarkEnd w:id="25"/>
    <w:bookmarkStart w:id="27" w:name="X1cc79192f98ed87b6ef02b50802cdf90e11bb09"/>
    <w:p>
      <w:pPr>
        <w:pStyle w:val="Heading2"/>
      </w:pPr>
      <w:r>
        <w:t xml:space="preserve">2. Roteiro para refazer a base</w:t>
      </w:r>
    </w:p>
    <w:p>
      <w:pPr>
        <w:pStyle w:val="FirstParagraph"/>
      </w:pPr>
      <w:r>
        <w:t xml:space="preserve">O roteiro completo também está em</w:t>
      </w:r>
      <w:r>
        <w:t xml:space="preserve"> </w:t>
      </w:r>
      <w:hyperlink r:id="rId26">
        <w:r>
          <w:rPr>
            <w:rStyle w:val="VerbatimChar"/>
          </w:rPr>
          <w:t xml:space="preserve">pipeline/reconstruir.sh</w:t>
        </w:r>
      </w:hyperlink>
      <w:r>
        <w:t xml:space="preserve">, que executa as etapas na ordem.</w:t>
      </w:r>
    </w:p>
    <w:p>
      <w:pPr>
        <w:pStyle w:val="SourceCode"/>
      </w:pPr>
      <w:r>
        <w:rPr>
          <w:rStyle w:val="CommentTok"/>
        </w:rPr>
        <w:t xml:space="preserve"># 0. Ambiente (Python 3.12)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pipeline/requirements.txt      </w:t>
      </w:r>
      <w:r>
        <w:rPr>
          <w:rStyle w:val="CommentTok"/>
        </w:rPr>
        <w:t xml:space="preserve"># pandas, openpyxl, geopandas, pyogrio, shapely</w:t>
      </w:r>
      <w:r>
        <w:br/>
      </w:r>
      <w:r>
        <w:br/>
      </w:r>
      <w:r>
        <w:rPr>
          <w:rStyle w:val="CommentTok"/>
        </w:rPr>
        <w:t xml:space="preserve"># 1. Versão publicável da planilha (a planilha .xlsx fica FORA do repositório)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pipeline/anonimizar.py caminho/2024_Base_Tratada.xlsx </w:t>
      </w:r>
      <w:r>
        <w:rPr>
          <w:rStyle w:val="AttributeTok"/>
        </w:rPr>
        <w:t xml:space="preserve">--ano</w:t>
      </w:r>
      <w:r>
        <w:rPr>
          <w:rStyle w:val="NormalTok"/>
        </w:rPr>
        <w:t xml:space="preserve"> 2024</w:t>
      </w:r>
      <w:r>
        <w:br/>
      </w:r>
      <w:r>
        <w:rPr>
          <w:rStyle w:val="CommentTok"/>
        </w:rPr>
        <w:t xml:space="preserve">#    → dados/fonte/acoes_2024_fonte.csv</w:t>
      </w:r>
      <w:r>
        <w:br/>
      </w:r>
      <w:r>
        <w:br/>
      </w:r>
      <w:r>
        <w:rPr>
          <w:rStyle w:val="CommentTok"/>
        </w:rPr>
        <w:t xml:space="preserve"># 2. Verificação de privacidade (interrompe se houver planilha, coluna pessoal ou e-mail)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pipeline/verificar_privacidade.py</w:t>
      </w:r>
      <w:r>
        <w:br/>
      </w:r>
      <w:r>
        <w:br/>
      </w:r>
      <w:r>
        <w:rPr>
          <w:rStyle w:val="CommentTok"/>
        </w:rPr>
        <w:t xml:space="preserve"># 3. Dados do site, CSVs abertos e GeoPackage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pipeline/construir_site.py </w:t>
      </w:r>
      <w:r>
        <w:rPr>
          <w:rStyle w:val="AttributeTok"/>
        </w:rPr>
        <w:t xml:space="preserve">--ano</w:t>
      </w:r>
      <w:r>
        <w:rPr>
          <w:rStyle w:val="NormalTok"/>
        </w:rPr>
        <w:t xml:space="preserve"> 2024              </w:t>
      </w:r>
      <w:r>
        <w:rPr>
          <w:rStyle w:val="CommentTok"/>
        </w:rPr>
        <w:t xml:space="preserve"># --sem-camadas pula o GeoPackage</w:t>
      </w:r>
      <w:r>
        <w:br/>
      </w:r>
      <w:r>
        <w:br/>
      </w:r>
      <w:r>
        <w:rPr>
          <w:rStyle w:val="CommentTok"/>
        </w:rPr>
        <w:t xml:space="preserve"># 4. Nova verificação, agora sobre os dados gerados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pipeline/verificar_privacidade.py</w:t>
      </w:r>
      <w:r>
        <w:br/>
      </w:r>
      <w:r>
        <w:br/>
      </w:r>
      <w:r>
        <w:rPr>
          <w:rStyle w:val="CommentTok"/>
        </w:rPr>
        <w:t xml:space="preserve"># 5. Versão em espanhol (requer Node; o pacote typescript só é usado para ler o JavaScript)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--prefix</w:t>
      </w:r>
      <w:r>
        <w:rPr>
          <w:rStyle w:val="NormalTok"/>
        </w:rPr>
        <w:t xml:space="preserve"> i18n </w:t>
      </w:r>
      <w:r>
        <w:rPr>
          <w:rStyle w:val="AttributeTok"/>
        </w:rPr>
        <w:t xml:space="preserve">--no-save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--no-package-lock</w:t>
      </w:r>
      <w:r>
        <w:rPr>
          <w:rStyle w:val="NormalTok"/>
        </w:rPr>
        <w:t xml:space="preserve"> typescript@5.6.3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i18n/ferramenta.js gerar                           </w:t>
      </w:r>
      <w:r>
        <w:rPr>
          <w:rStyle w:val="CommentTok"/>
        </w:rPr>
        <w:t xml:space="preserve"># → es/, assets/js/app-es/, i18n/pendentes.json</w:t>
      </w:r>
      <w:r>
        <w:br/>
      </w:r>
      <w:r>
        <w:br/>
      </w:r>
      <w:r>
        <w:rPr>
          <w:rStyle w:val="CommentTok"/>
        </w:rPr>
        <w:t xml:space="preserve"># 6. Ver localmente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http.server 8000                                </w:t>
      </w:r>
      <w:r>
        <w:rPr>
          <w:rStyle w:val="CommentTok"/>
        </w:rPr>
        <w:t xml:space="preserve"># abrir http://localhost:8000/base/ e /es/base/</w:t>
      </w:r>
      <w:r>
        <w:br/>
      </w:r>
      <w:r>
        <w:br/>
      </w:r>
      <w:r>
        <w:rPr>
          <w:rStyle w:val="CommentTok"/>
        </w:rPr>
        <w:t xml:space="preserve"># 7. Publicar: enviar ao ramo main; o GitHub Actions (.github/workflows/publicar.yml) repete 2–5 e publica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"…"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pPr>
        <w:pStyle w:val="FirstParagraph"/>
      </w:pPr>
      <w:r>
        <w:rPr>
          <w:bCs/>
          <w:b/>
        </w:rPr>
        <w:t xml:space="preserve">Atualizar a base com uma nova versão da planilha:</w:t>
      </w:r>
      <w:r>
        <w:t xml:space="preserve"> </w:t>
      </w:r>
      <w:r>
        <w:t xml:space="preserve">repetir os passos 1 a 7. Os arquivos de referência (</w:t>
      </w:r>
      <w:r>
        <w:rPr>
          <w:rStyle w:val="VerbatimChar"/>
        </w:rPr>
        <w:t xml:space="preserve">pipeline/referencias/</w:t>
      </w:r>
      <w:r>
        <w:t xml:space="preserve">) não precisam ser baixados de novo.</w:t>
      </w:r>
    </w:p>
    <w:p>
      <w:pPr>
        <w:pStyle w:val="BodyText"/>
      </w:pPr>
      <w:r>
        <w:rPr>
          <w:bCs/>
          <w:b/>
        </w:rPr>
        <w:t xml:space="preserve">Cache do navegador:</w:t>
      </w:r>
      <w:r>
        <w:t xml:space="preserve"> </w:t>
      </w:r>
      <w:r>
        <w:t xml:space="preserve">ao mudar CSS ou JavaScript, trocar o parâmetro</w:t>
      </w:r>
      <w:r>
        <w:t xml:space="preserve"> </w:t>
      </w:r>
      <w:r>
        <w:rPr>
          <w:rStyle w:val="VerbatimChar"/>
        </w:rPr>
        <w:t xml:space="preserve">?v=AAAAMMDDx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base/index.html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assets/js/app/carregar.js</w:t>
      </w:r>
      <w:r>
        <w:t xml:space="preserve">, para que os visitantes recebam a versão nova.</w:t>
      </w:r>
    </w:p>
    <w:p>
      <w:r>
        <w:pict>
          <v:rect style="width:0;height:1.5pt" o:hralign="center" o:hrstd="t" o:hr="t"/>
        </w:pict>
      </w:r>
    </w:p>
    <w:bookmarkEnd w:id="27"/>
    <w:bookmarkStart w:id="28" w:name="X2859d0823022a7c52bda876a1a5d163769dd958"/>
    <w:p>
      <w:pPr>
        <w:pStyle w:val="Heading2"/>
      </w:pPr>
      <w:r>
        <w:t xml:space="preserve">3. Privacidade e anonimização</w:t>
      </w:r>
    </w:p>
    <w:p>
      <w:pPr>
        <w:numPr>
          <w:ilvl w:val="0"/>
          <w:numId w:val="1002"/>
        </w:numPr>
        <w:pStyle w:val="Compact"/>
      </w:pPr>
      <w:r>
        <w:t xml:space="preserve">A planilha original contém nome, sobrenome e e-mail de quem codificou.</w:t>
      </w:r>
      <w:r>
        <w:t xml:space="preserve"> </w:t>
      </w:r>
      <w:r>
        <w:rPr>
          <w:bCs/>
          <w:b/>
        </w:rPr>
        <w:t xml:space="preserve">Ela nunca vai para o repositório</w:t>
      </w:r>
      <w:r>
        <w:t xml:space="preserve">: o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bloqueia</w:t>
      </w:r>
      <w:r>
        <w:t xml:space="preserve"> </w:t>
      </w:r>
      <w:r>
        <w:rPr>
          <w:rStyle w:val="VerbatimChar"/>
        </w:rPr>
        <w:t xml:space="preserve">.xlsx</w:t>
      </w:r>
      <w:r>
        <w:t xml:space="preserve">/</w:t>
      </w:r>
      <w:r>
        <w:rPr>
          <w:rStyle w:val="VerbatimChar"/>
        </w:rPr>
        <w:t xml:space="preserve">.xls</w:t>
      </w:r>
      <w:r>
        <w:t xml:space="preserve">, e</w:t>
      </w:r>
      <w:r>
        <w:t xml:space="preserve"> </w:t>
      </w:r>
      <w:r>
        <w:rPr>
          <w:rStyle w:val="VerbatimChar"/>
        </w:rPr>
        <w:t xml:space="preserve">verificar_privacidade.py</w:t>
      </w:r>
      <w:r>
        <w:t xml:space="preserve"> </w:t>
      </w:r>
      <w:r>
        <w:t xml:space="preserve">falha se encontrar planilhas, colunas fora da lista publicável ou endereços de e-mail nos dados.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anonimizar.py</w:t>
      </w:r>
      <w:r>
        <w:t xml:space="preserve"> </w:t>
      </w:r>
      <w:r>
        <w:t xml:space="preserve">mantém apenas as colunas listadas em</w:t>
      </w:r>
      <w:r>
        <w:t xml:space="preserve"> </w:t>
      </w:r>
      <w:r>
        <w:rPr>
          <w:rStyle w:val="VerbatimChar"/>
        </w:rPr>
        <w:t xml:space="preserve">COLUNAS_PUBLICAVEIS</w:t>
      </w:r>
      <w:r>
        <w:t xml:space="preserve"> </w:t>
      </w:r>
      <w:r>
        <w:t xml:space="preserve">(</w:t>
      </w:r>
      <w:r>
        <w:rPr>
          <w:rStyle w:val="VerbatimChar"/>
        </w:rPr>
        <w:t xml:space="preserve">pipeline/comum.py</w:t>
      </w:r>
      <w:r>
        <w:t xml:space="preserve">) e descarta as demais: dados pessoais de quem codificou, data de envio do formulário e observações internas de revisão.</w:t>
      </w:r>
    </w:p>
    <w:p>
      <w:pPr>
        <w:numPr>
          <w:ilvl w:val="0"/>
          <w:numId w:val="1002"/>
        </w:numPr>
        <w:pStyle w:val="Compact"/>
      </w:pPr>
      <w:r>
        <w:t xml:space="preserve">A verificação roda duas vezes no GitHub Actions: antes e depois de gerar os dados.</w:t>
      </w:r>
    </w:p>
    <w:p>
      <w:pPr>
        <w:numPr>
          <w:ilvl w:val="0"/>
          <w:numId w:val="1002"/>
        </w:numPr>
        <w:pStyle w:val="Compact"/>
      </w:pPr>
      <w:r>
        <w:t xml:space="preserve">Downloads de dados externos só foram feitos com autorização explícita do responsável (18 e 19/10/2026).</w:t>
      </w:r>
    </w:p>
    <w:p>
      <w:r>
        <w:pict>
          <v:rect style="width:0;height:1.5pt" o:hralign="center" o:hrstd="t" o:hr="t"/>
        </w:pict>
      </w:r>
    </w:p>
    <w:bookmarkEnd w:id="28"/>
    <w:bookmarkStart w:id="29" w:name="X3b573216b0059f88763bc966056283587d7a53e"/>
    <w:p>
      <w:pPr>
        <w:pStyle w:val="Heading2"/>
      </w:pPr>
      <w:r>
        <w:t xml:space="preserve">4. Tratamento das notícias</w:t>
      </w:r>
    </w:p>
    <w:p>
      <w:pPr>
        <w:pStyle w:val="FirstParagraph"/>
      </w:pPr>
      <w:r>
        <w:t xml:space="preserve">Executado por</w:t>
      </w:r>
      <w:r>
        <w:t xml:space="preserve"> </w:t>
      </w:r>
      <w:r>
        <w:rPr>
          <w:rStyle w:val="VerbatimChar"/>
        </w:rPr>
        <w:t xml:space="preserve">pipeline/preparar_dados.py</w:t>
      </w:r>
      <w:r>
        <w:t xml:space="preserve">.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C9D6E3"/>
          <w:left w:val="single" w:sz="4" w:color="C9D6E3"/>
          <w:bottom w:val="single" w:sz="4" w:color="C9D6E3"/>
          <w:right w:val="single" w:sz="4" w:color="C9D6E3"/>
          <w:insideH w:val="single" w:sz="4" w:color="C9D6E3"/>
          <w:insideV w:val="single" w:sz="4" w:color="C9D6E3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EAF3FB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sz w:val="18"/>
              </w:rPr>
              <w:t xml:space="preserve">Passo</w:t>
            </w:r>
          </w:p>
        </w:tc>
        <w:tc>
          <w:tcPr>
            <w:shd w:val="clear" w:color="auto" w:fill="EAF3FB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sz w:val="18"/>
              </w:rPr>
              <w:t xml:space="preserve">Regra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Valores múltiplos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Campos com vários valores, separados por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;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ou quebra de linha, viram listas. Uma notícia pode ter, por exemplo, dois tipos de movimento; por isso as porcentagens podem somar mais de 100%.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Grafias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Unificação de maiúsculas, acentos e espaços; siglas de movimentos contam junto com o nome completo (ex.: “UTEP” = “Unión de Trabajadores y Trabajadoras de la Economía Popular (UTEP)”); nomes dos ODS padronizados (</w:t>
            </w:r>
            <w:r>
              <w:rPr>
                <w:rStyle w:val="VerbatimChar"/>
                <w:sz w:val="18"/>
              </w:rPr>
              <w:t xml:space="preserve">ODS n · nome</w:t>
            </w:r>
            <w:r>
              <w:rPr>
                <w:sz w:val="18"/>
              </w:rPr>
              <w:t xml:space="preserve">); veículos de imprensa padronizados; repetições dentro da mesma notícia removidas.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Tipologia da ação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O campo “Acción matriz y derivada” é dividido em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ação matriz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(tipo geral) e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ação derivada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(forma concreta).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Espaço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A referência espacial (</w:t>
            </w:r>
            <w:r>
              <w:rPr>
                <w:rStyle w:val="VerbatimChar"/>
                <w:sz w:val="18"/>
              </w:rPr>
              <w:t xml:space="preserve">localidade;departamento;província;código</w:t>
            </w:r>
            <w:r>
              <w:rPr>
                <w:sz w:val="18"/>
              </w:rPr>
              <w:t xml:space="preserve">) gera província, departamento/partido, localidade e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região do INDEC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(Gran Buenos Aires = CABA + 24 partidos; demais partidos de Buenos Aires em Pampeana).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Datas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Data de início da ação; na falta dela, data de publicação. Usada na série semanal e no calendário.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Ano e país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Duas variáveis novas no início da base (30/10/2026).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Ano</w:t>
            </w:r>
            <w:r>
              <w:rPr>
                <w:sz w:val="18"/>
              </w:rPr>
              <w:t xml:space="preserve">: coluna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Año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(ou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Ano</w:t>
            </w:r>
            <w:r>
              <w:rPr>
                <w:sz w:val="18"/>
              </w:rPr>
              <w:t xml:space="preserve">) da planilha, se existir; senão, o ano da data da notícia.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País</w:t>
            </w:r>
            <w:r>
              <w:rPr>
                <w:sz w:val="18"/>
              </w:rPr>
              <w:t xml:space="preserve">: coluna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País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(ou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Pais</w:t>
            </w:r>
            <w:r>
              <w:rPr>
                <w:sz w:val="18"/>
              </w:rPr>
              <w:t xml:space="preserve">), se existir; senão, “Argentina”. As duas colunas são opcionais em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anonimizar.py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e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verificar_privacidade.py</w:t>
            </w:r>
            <w:r>
              <w:rPr>
                <w:sz w:val="18"/>
              </w:rPr>
              <w:t xml:space="preserve">. Servem para juntar, numa mesma planilha padronizada, vários anos (2020–2024) e outros países (Brasil), e já aparecem como seletores no topo da base. Hoje a base tem um só ano e um só país, então os seletores mostram apenas 2024 e Argentina.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Repetidas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Notícias com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Status = Repetida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(a mesma ação noticiada mais de uma vez) ficam fora por padrão; o usuário pode incluí-las.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Sem informação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Categorias como “No informa (NI)” são mantidas na base, mas excluídas dos rankings, das combinações características e da ACM.</w:t>
            </w:r>
          </w:p>
        </w:tc>
      </w:tr>
    </w:tbl>
    <w:p>
      <w:pPr>
        <w:pStyle w:val="BodyText"/>
      </w:pPr>
      <w:r>
        <w:rPr>
          <w:bCs/>
          <w:b/>
        </w:rPr>
        <w:t xml:space="preserve">Contagem de organizações e veículos.</w:t>
      </w:r>
      <w:r>
        <w:t xml:space="preserve"> </w:t>
      </w:r>
      <w:r>
        <w:t xml:space="preserve">O número varia conforme a regra: 867 nomes distintos incluindo menções genéricas, 822 excluindo “nacional/virtual/não informa” (página inicial). A unificação de nomes duplicados ainda não está completa (ver</w:t>
      </w:r>
      <w:r>
        <w:t xml:space="preserve"> </w:t>
      </w:r>
      <w:hyperlink w:anchor="X3d9f82193e44c2a113d49ff9b97f8db3ae86c66">
        <w:r>
          <w:rPr>
            <w:rStyle w:val="Hyperlink"/>
          </w:rPr>
          <w:t xml:space="preserve">Pendências</w:t>
        </w:r>
      </w:hyperlink>
      <w:r>
        <w:t xml:space="preserve">).</w:t>
      </w:r>
    </w:p>
    <w:p>
      <w:pPr>
        <w:pStyle w:val="BodyText"/>
      </w:pPr>
      <w:r>
        <w:rPr>
          <w:bCs/>
          <w:b/>
        </w:rPr>
        <w:t xml:space="preserve">Saídas:</w:t>
      </w:r>
      <w:r>
        <w:t xml:space="preserve"> </w:t>
      </w:r>
      <w:r>
        <w:rPr>
          <w:rStyle w:val="VerbatimChar"/>
        </w:rPr>
        <w:t xml:space="preserve">dados/base.json</w:t>
      </w:r>
      <w:r>
        <w:t xml:space="preserve"> </w:t>
      </w:r>
      <w:r>
        <w:t xml:space="preserve">(formato compacto do site),</w:t>
      </w:r>
      <w:r>
        <w:t xml:space="preserve"> </w:t>
      </w:r>
      <w:r>
        <w:rPr>
          <w:rStyle w:val="VerbatimChar"/>
        </w:rPr>
        <w:t xml:space="preserve">dados/acoes_2024.csv</w:t>
      </w:r>
      <w:r>
        <w:t xml:space="preserve"> </w:t>
      </w:r>
      <w:r>
        <w:t xml:space="preserve">(uma linha por notícia),</w:t>
      </w:r>
      <w:r>
        <w:t xml:space="preserve"> </w:t>
      </w:r>
      <w:r>
        <w:rPr>
          <w:rStyle w:val="VerbatimChar"/>
        </w:rPr>
        <w:t xml:space="preserve">dados/dicionario.md</w:t>
      </w:r>
      <w:r>
        <w:t xml:space="preserve"> </w:t>
      </w:r>
      <w:r>
        <w:t xml:space="preserve">(variáveis e categorias mais frequentes).</w:t>
      </w:r>
    </w:p>
    <w:p>
      <w:r>
        <w:pict>
          <v:rect style="width:0;height:1.5pt" o:hralign="center" o:hrstd="t" o:hr="t"/>
        </w:pict>
      </w:r>
    </w:p>
    <w:bookmarkEnd w:id="29"/>
    <w:bookmarkStart w:id="31" w:name="Xfedde9b5bea7aaf84fb89824dd9bb669bfc0d5b"/>
    <w:p>
      <w:pPr>
        <w:pStyle w:val="Heading2"/>
      </w:pPr>
      <w:r>
        <w:t xml:space="preserve">5. Espaço: geocodificação e limites</w:t>
      </w:r>
    </w:p>
    <w:p>
      <w:pPr>
        <w:pStyle w:val="FirstParagraph"/>
      </w:pPr>
      <w:r>
        <w:rPr>
          <w:bCs/>
          <w:b/>
        </w:rPr>
        <w:t xml:space="preserve">Geocodificação</w:t>
      </w:r>
      <w:r>
        <w:t xml:space="preserve"> </w:t>
      </w:r>
      <w:r>
        <w:t xml:space="preserve">(</w:t>
      </w:r>
      <w:r>
        <w:rPr>
          <w:rStyle w:val="VerbatimChar"/>
        </w:rPr>
        <w:t xml:space="preserve">pipeline/geocodificar.py</w:t>
      </w:r>
      <w:r>
        <w:t xml:space="preserve">), em ordem de tentativa:</w:t>
      </w:r>
    </w:p>
    <w:p>
      <w:pPr>
        <w:numPr>
          <w:ilvl w:val="0"/>
          <w:numId w:val="1003"/>
        </w:numPr>
        <w:pStyle w:val="Compact"/>
      </w:pPr>
      <w:r>
        <w:t xml:space="preserve">coordenadas conferidas manualmente (</w:t>
      </w:r>
      <w:r>
        <w:rPr>
          <w:rStyle w:val="VerbatimChar"/>
        </w:rPr>
        <w:t xml:space="preserve">referencias/coordenadas_manuais.csv</w:t>
      </w:r>
      <w:r>
        <w:t xml:space="preserve">): 13 localidades;</w:t>
      </w:r>
    </w:p>
    <w:p>
      <w:pPr>
        <w:numPr>
          <w:ilvl w:val="0"/>
          <w:numId w:val="1003"/>
        </w:numPr>
        <w:pStyle w:val="Compact"/>
      </w:pPr>
      <w:r>
        <w:t xml:space="preserve">GeoNames, pelo nome da localidade dentro da mesma província (</w:t>
      </w:r>
      <w:r>
        <w:rPr>
          <w:rStyle w:val="VerbatimChar"/>
        </w:rPr>
        <w:t xml:space="preserve">localidades_geonames_ar.csv</w:t>
      </w:r>
      <w:r>
        <w:t xml:space="preserve">): 111;</w:t>
      </w:r>
    </w:p>
    <w:p>
      <w:pPr>
        <w:numPr>
          <w:ilvl w:val="0"/>
          <w:numId w:val="1003"/>
        </w:numPr>
        <w:pStyle w:val="Compact"/>
      </w:pPr>
      <w:r>
        <w:t xml:space="preserve">centro do departamento informado (</w:t>
      </w:r>
      <w:r>
        <w:rPr>
          <w:rStyle w:val="VerbatimChar"/>
        </w:rPr>
        <w:t xml:space="preserve">departamentos.csv</w:t>
      </w:r>
      <w:r>
        <w:t xml:space="preserve">): 6;</w:t>
      </w:r>
    </w:p>
    <w:p>
      <w:pPr>
        <w:numPr>
          <w:ilvl w:val="0"/>
          <w:numId w:val="1003"/>
        </w:numPr>
        <w:pStyle w:val="Compact"/>
      </w:pPr>
      <w:r>
        <w:t xml:space="preserve">não localizadas (referências só de província, fora da Argentina etc.): 4.</w:t>
      </w:r>
    </w:p>
    <w:p>
      <w:pPr>
        <w:pStyle w:val="FirstParagraph"/>
      </w:pPr>
      <w:r>
        <w:t xml:space="preserve">O relatório completo está em</w:t>
      </w:r>
      <w:r>
        <w:t xml:space="preserve"> </w:t>
      </w:r>
      <w:r>
        <w:rPr>
          <w:rStyle w:val="VerbatimChar"/>
        </w:rPr>
        <w:t xml:space="preserve">dados/relatorio_geocodificacao.csv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Limites</w:t>
      </w:r>
      <w:r>
        <w:t xml:space="preserve"> </w:t>
      </w:r>
      <w:r>
        <w:t xml:space="preserve">(</w:t>
      </w:r>
      <w:r>
        <w:rPr>
          <w:rStyle w:val="VerbatimChar"/>
        </w:rPr>
        <w:t xml:space="preserve">referencias/limites/</w:t>
      </w:r>
      <w:r>
        <w:t xml:space="preserve">): departamentos derivados de</w:t>
      </w:r>
      <w:r>
        <w:t xml:space="preserve"> </w:t>
      </w:r>
      <w:hyperlink r:id="rId30">
        <w:r>
          <w:rPr>
            <w:rStyle w:val="Hyperlink"/>
          </w:rPr>
          <w:t xml:space="preserve">mgaitan/departamentos_argentina</w:t>
        </w:r>
      </w:hyperlink>
      <w:r>
        <w:t xml:space="preserve"> </w:t>
      </w:r>
      <w:r>
        <w:t xml:space="preserve">com o mapshaper (correção dos rótulos trocados de Malvinas e Antártida, recorte do setor antártico, dissolução das comunas da CABA, simplificação de 3%), 512 departamentos/partidos; países vizinhos do Natural Earth 1:50 milhões.</w:t>
      </w:r>
    </w:p>
    <w:p>
      <w:pPr>
        <w:pStyle w:val="BodyText"/>
      </w:pPr>
      <w:r>
        <w:rPr>
          <w:bCs/>
          <w:b/>
        </w:rPr>
        <w:t xml:space="preserve">Topônimos por zoom:</w:t>
      </w:r>
      <w:r>
        <w:t xml:space="preserve"> </w:t>
      </w:r>
      <w:r>
        <w:t xml:space="preserve">877 cidades argentinas com população (GeoNames, CC BY 4.0, via pacote</w:t>
      </w:r>
      <w:r>
        <w:t xml:space="preserve"> </w:t>
      </w:r>
      <w:r>
        <w:rPr>
          <w:rStyle w:val="VerbatimChar"/>
        </w:rPr>
        <w:t xml:space="preserve">all-the-cities</w:t>
      </w:r>
      <w:r>
        <w:t xml:space="preserve">), em</w:t>
      </w:r>
      <w:r>
        <w:t xml:space="preserve"> </w:t>
      </w:r>
      <w:r>
        <w:rPr>
          <w:rStyle w:val="VerbatimChar"/>
        </w:rPr>
        <w:t xml:space="preserve">toponimos_ar.csv</w:t>
      </w:r>
      <w:r>
        <w:t xml:space="preserve">. Capitais sempre visíveis; demais cidades conforme a população e o nível de aproximação.</w:t>
      </w:r>
    </w:p>
    <w:p>
      <w:pPr>
        <w:pStyle w:val="BodyText"/>
      </w:pPr>
      <w:r>
        <w:rPr>
          <w:bCs/>
          <w:b/>
        </w:rPr>
        <w:t xml:space="preserve">Projeção das pranchas:</w:t>
      </w:r>
      <w:r>
        <w:t xml:space="preserve"> </w:t>
      </w:r>
      <w:r>
        <w:t xml:space="preserve">cônica conforme de Lambert (paralelos 28° S e 46° S, meridiano central 64° O), WGS 84. Detalhe da AMBA em Mercator.</w:t>
      </w:r>
    </w:p>
    <w:p>
      <w:pPr>
        <w:pStyle w:val="BodyText"/>
      </w:pPr>
      <w:r>
        <w:rPr>
          <w:bCs/>
          <w:b/>
        </w:rPr>
        <w:t xml:space="preserve">Mapa navegável:</w:t>
      </w:r>
      <w:r>
        <w:t xml:space="preserve"> </w:t>
      </w:r>
      <w:r>
        <w:t xml:space="preserve">Leaflet 1.9.4 com mapa base Esri World Light Gray (base e rótulos) e alternativa OpenStreetMap. O mapa base da CARTO foi abandonado em 18/10/2026 porque passou a exigir chave de acesso.</w:t>
      </w:r>
    </w:p>
    <w:p>
      <w:r>
        <w:pict>
          <v:rect style="width:0;height:1.5pt" o:hralign="center" o:hrstd="t" o:hr="t"/>
        </w:pict>
      </w:r>
    </w:p>
    <w:bookmarkEnd w:id="31"/>
    <w:bookmarkStart w:id="36" w:name="X49567ca4f9361cfb8ea9fa1278932e505983f63"/>
    <w:p>
      <w:pPr>
        <w:pStyle w:val="Heading2"/>
      </w:pPr>
      <w:r>
        <w:t xml:space="preserve">6. Indicadores de contexto</w:t>
      </w:r>
    </w:p>
    <w:p>
      <w:pPr>
        <w:pStyle w:val="FirstParagraph"/>
      </w:pPr>
      <w:r>
        <w:t xml:space="preserve">Arquivos em</w:t>
      </w:r>
      <w:r>
        <w:t xml:space="preserve"> </w:t>
      </w:r>
      <w:r>
        <w:rPr>
          <w:rStyle w:val="VerbatimChar"/>
        </w:rPr>
        <w:t xml:space="preserve">pipeline/referencias/contexto/</w:t>
      </w:r>
      <w:r>
        <w:t xml:space="preserve">; fontes completas em</w:t>
      </w:r>
      <w:r>
        <w:t xml:space="preserve"> </w:t>
      </w:r>
      <w:hyperlink r:id="rId32">
        <w:r>
          <w:rPr>
            <w:rStyle w:val="VerbatimChar"/>
          </w:rPr>
          <w:t xml:space="preserve">FONTES.md</w:t>
        </w:r>
      </w:hyperlink>
      <w:r>
        <w:t xml:space="preserve">. Todos entram no site por</w:t>
      </w:r>
      <w:r>
        <w:t xml:space="preserve"> </w:t>
      </w:r>
      <w:r>
        <w:rPr>
          <w:rStyle w:val="VerbatimChar"/>
        </w:rPr>
        <w:t xml:space="preserve">construir_site.py</w:t>
      </w:r>
      <w:r>
        <w:t xml:space="preserve"> </w:t>
      </w:r>
      <w:r>
        <w:t xml:space="preserve">(</w:t>
      </w:r>
      <w:r>
        <w:rPr>
          <w:rStyle w:val="VerbatimChar"/>
        </w:rPr>
        <w:t xml:space="preserve">contexto()</w:t>
      </w:r>
      <w:r>
        <w:t xml:space="preserve">,</w:t>
      </w:r>
      <w:r>
        <w:t xml:space="preserve"> </w:t>
      </w:r>
      <w:r>
        <w:rPr>
          <w:rStyle w:val="VerbatimChar"/>
        </w:rPr>
        <w:t xml:space="preserve">indec_geoportal()</w:t>
      </w:r>
      <w:r>
        <w:t xml:space="preserve">,</w:t>
      </w:r>
      <w:r>
        <w:t xml:space="preserve"> </w:t>
      </w:r>
      <w:r>
        <w:rPr>
          <w:rStyle w:val="VerbatimChar"/>
        </w:rPr>
        <w:t xml:space="preserve">lutas_departamentos()</w:t>
      </w:r>
      <w:r>
        <w:t xml:space="preserve">,</w:t>
      </w:r>
      <w:r>
        <w:t xml:space="preserve"> </w:t>
      </w:r>
      <w:r>
        <w:rPr>
          <w:rStyle w:val="VerbatimChar"/>
        </w:rPr>
        <w:t xml:space="preserve">lutas_provincias()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contexto_site()</w:t>
      </w:r>
      <w:r>
        <w:t xml:space="preserve">).</w:t>
      </w:r>
    </w:p>
    <w:bookmarkStart w:id="33" w:name="Xc758a1a19557ace234b88cc2071e4342ee0cb1f"/>
    <w:p>
      <w:pPr>
        <w:pStyle w:val="Heading3"/>
      </w:pPr>
      <w:r>
        <w:t xml:space="preserve">6.1 Fontes em uso no site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C9D6E3"/>
          <w:left w:val="single" w:sz="4" w:color="C9D6E3"/>
          <w:bottom w:val="single" w:sz="4" w:color="C9D6E3"/>
          <w:right w:val="single" w:sz="4" w:color="C9D6E3"/>
          <w:insideH w:val="single" w:sz="4" w:color="C9D6E3"/>
          <w:insideV w:val="single" w:sz="4" w:color="C9D6E3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EAF3FB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sz w:val="18"/>
              </w:rPr>
              <w:t xml:space="preserve">Indicador</w:t>
            </w:r>
          </w:p>
        </w:tc>
        <w:tc>
          <w:tcPr>
            <w:shd w:val="clear" w:color="auto" w:fill="EAF3FB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sz w:val="18"/>
              </w:rPr>
              <w:t xml:space="preserve">Recorte</w:t>
            </w:r>
          </w:p>
        </w:tc>
        <w:tc>
          <w:tcPr>
            <w:shd w:val="clear" w:color="auto" w:fill="EAF3FB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sz w:val="18"/>
              </w:rPr>
              <w:t xml:space="preserve">Ano</w:t>
            </w:r>
          </w:p>
        </w:tc>
        <w:tc>
          <w:tcPr>
            <w:shd w:val="clear" w:color="auto" w:fill="EAF3FB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sz w:val="18"/>
              </w:rPr>
              <w:t xml:space="preserve">Fonte e obtenção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População, área e densidade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24 jurisdições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2022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INDEC, Censo 2022, resultados definitivos; área calculada pelo projeto (Albers)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15 indicadores do Censo ligados às lutas: privação material (IPMH e tipos), água, esgoto, gás, aluguel, secundário completo, frequência escolar de 15 a 17 anos, jovens que não estudam nem trabalham, desocupação, cobertura de saúde, aposentadoria de mulheres, população indígena; mais a densidade, como referência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Departamento e província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2022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INDEC, Geoportal estadístico; API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datosestadisticos.indec.gob.ar/api/v1</w:t>
            </w:r>
            <w:r>
              <w:rPr>
                <w:sz w:val="18"/>
              </w:rPr>
              <w:t xml:space="preserve">, lida em 18/10/2026 pelo navegador (o ambiente de execução não alcança o INDEC). Desocupação calculada como desocupados ÷ (ocupados + desocupados).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Pobreza, indigência e desocupação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6 regiões e 31 aglomerados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2024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INDEC, Encuesta Permanente de Hogares (2º semestre e 4º trimestre de 2024)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Homicídios dolosos por 100 mil hab.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24 jurisdições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2024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Ministério de Segurança, SNIC-SAT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Famílias em bairros populares por 1.000 hab. e bairros por 100 mil hab.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Departamento e província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2023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RENABAP, arquivo de 05/12/2023 em datos.gob.ar (6.467 bairros, 1.237.795 famílias), somado por departamento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Voto em LLA, UxP, JxC e FIT, % dos votos positivos, 1º turno presidencial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Departamento e província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2023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Dirección Nacional Electoral, resultados provisórios mesa a mesa (</w:t>
            </w:r>
            <w:r>
              <w:rPr>
                <w:rStyle w:val="VerbatimChar"/>
                <w:sz w:val="18"/>
              </w:rPr>
              <w:t xml:space="preserve">2023_generales_1.zip</w:t>
            </w:r>
            <w:r>
              <w:rPr>
                <w:sz w:val="18"/>
              </w:rPr>
              <w:t xml:space="preserve">, 1,08 GB descompactado), somados por seção eleitoral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Inscritos no ReNaTEP, % da população de 18 a 65 anos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24 jurisdições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2023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Informe</w:t>
            </w:r>
            <w:r>
              <w:rPr>
                <w:sz w:val="18"/>
              </w:rPr>
              <w:t xml:space="preserve"> </w:t>
            </w:r>
            <w:r>
              <w:rPr>
                <w:iCs/>
                <w:i/>
                <w:sz w:val="18"/>
              </w:rPr>
              <w:t xml:space="preserve">Juventudes y Economía Popular en el ReNaTEP</w:t>
            </w:r>
            <w:r>
              <w:rPr>
                <w:sz w:val="18"/>
              </w:rPr>
              <w:t xml:space="preserve">, cuadro 2 (dados de 04/04/2023)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Femicídios por 100 mil mulheres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24 jurisdições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2024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Corte Suprema, Registro Nacional de Femicidios 2024, tabela 6</w:t>
            </w:r>
          </w:p>
        </w:tc>
      </w:tr>
    </w:tbl>
    <w:bookmarkEnd w:id="33"/>
    <w:bookmarkStart w:id="34" w:name="Xd57299b61f3dd2e2d0d10f42117ee47963cf1c1"/>
    <w:p>
      <w:pPr>
        <w:pStyle w:val="Heading3"/>
      </w:pPr>
      <w:r>
        <w:t xml:space="preserve">6.2 Indicadores retirados do site (19/10/2026)</w:t>
      </w:r>
    </w:p>
    <w:p>
      <w:pPr>
        <w:pStyle w:val="FirstParagraph"/>
      </w:pPr>
      <w:r>
        <w:t xml:space="preserve">Por terem pouca ligação direta com as ações coletivas, saíram do site (continuam no CSV de contexto para download): piso revestido, internet, computador, população inativa, crescimento populacional, índice de feminidade, envelhecimento, dependência, filhos por mulher, afrodescendentes, nascidos no exterior, nascidos em outra província e homicídios de 2023 (repetiam a informação de 2024). A densidade e a população ficaram como</w:t>
      </w:r>
      <w:r>
        <w:t xml:space="preserve"> </w:t>
      </w:r>
      <w:r>
        <w:rPr>
          <w:bCs/>
          <w:b/>
        </w:rPr>
        <w:t xml:space="preserve">referência</w:t>
      </w:r>
      <w:r>
        <w:t xml:space="preserve">, para controlar o efeito do tamanho das cidades.</w:t>
      </w:r>
    </w:p>
    <w:bookmarkEnd w:id="34"/>
    <w:bookmarkStart w:id="35" w:name="X698ca334439e34dd2126cc717d2d4b9faa63645"/>
    <w:p>
      <w:pPr>
        <w:pStyle w:val="Heading3"/>
      </w:pPr>
      <w:r>
        <w:t xml:space="preserve">6.3 Compatibilização entre fontes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C9D6E3"/>
          <w:left w:val="single" w:sz="4" w:color="C9D6E3"/>
          <w:bottom w:val="single" w:sz="4" w:color="C9D6E3"/>
          <w:right w:val="single" w:sz="4" w:color="C9D6E3"/>
          <w:insideH w:val="single" w:sz="4" w:color="C9D6E3"/>
          <w:insideV w:val="single" w:sz="4" w:color="C9D6E3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EAF3FB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sz w:val="18"/>
              </w:rPr>
              <w:t xml:space="preserve">Situação</w:t>
            </w:r>
          </w:p>
        </w:tc>
        <w:tc>
          <w:tcPr>
            <w:shd w:val="clear" w:color="auto" w:fill="EAF3FB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sz w:val="18"/>
              </w:rPr>
              <w:t xml:space="preserve">Tratamento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Comunas da CABA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A camada de limites tem a cidade inteira: os valores do Censo são os da jurisdição; RENABAP e eleições somam as 15 comunas.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Nomes de departamento diferentes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Casamento por nome normalizado, com apelidos em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ALIAS_INDEC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(Censo) e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ALIAS_DEP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(RENABAP e eleições), por exemplo “Dr. Manuel Belgrano” = “Doctor Manuel Belgrano”, “José M. Ezeiza” = “Ezeiza”, “1º de Mayo” = “1 de Mayo”.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Tolhuin (2017) e Lezama (2009)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Não existem na camada de limites: RENABAP e eleições somam-se aos departamentos de origem (Río Grande e Chascomús); no Censo ficam sem polígono.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Seção eleitoral Antártida Argentina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Fora do mapa.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Tierra del Fuego nas eleições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O nome da província tem vírgula; foi preciso uma leitura do CSV que respeita aspas (corrigido em 19/10/2026).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El Cuy (Río Negro) no RENABAP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7.102 famílias registradas para 6.960 habitantes recenseados (bairros de Las Perlas, junto a Neuquén). Quando as famílias passam de um terço da população, as fontes são tratadas como incompatíveis e o valor fica vazio.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2º turno de 2023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Não está publicado no mesmo formato pela DINE; usa-se o 1º turno.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41" w:name="X6d348273175772d54216bfc7432a22c556cacdc"/>
    <w:p>
      <w:pPr>
        <w:pStyle w:val="Heading2"/>
      </w:pPr>
      <w:r>
        <w:t xml:space="preserve">7. O site: abas, medidas e critérios</w:t>
      </w:r>
    </w:p>
    <w:p>
      <w:pPr>
        <w:pStyle w:val="FirstParagraph"/>
      </w:pPr>
      <w:r>
        <w:t xml:space="preserve">Código em</w:t>
      </w:r>
      <w:r>
        <w:t xml:space="preserve"> </w:t>
      </w:r>
      <w:r>
        <w:rPr>
          <w:rStyle w:val="VerbatimChar"/>
        </w:rPr>
        <w:t xml:space="preserve">assets/js/app/</w:t>
      </w:r>
      <w:r>
        <w:t xml:space="preserve"> </w:t>
      </w:r>
      <w:r>
        <w:t xml:space="preserve">(módulos carregados em ordem por</w:t>
      </w:r>
      <w:r>
        <w:t xml:space="preserve"> </w:t>
      </w:r>
      <w:r>
        <w:rPr>
          <w:rStyle w:val="VerbatimChar"/>
        </w:rPr>
        <w:t xml:space="preserve">carregar.js</w:t>
      </w:r>
      <w:r>
        <w:t xml:space="preserve">). Todas as análises respondem ao</w:t>
      </w:r>
      <w:r>
        <w:t xml:space="preserve"> </w:t>
      </w:r>
      <w:r>
        <w:rPr>
          <w:bCs/>
          <w:b/>
        </w:rPr>
        <w:t xml:space="preserve">recorte</w:t>
      </w:r>
      <w:r>
        <w:t xml:space="preserve">: os filtros escolhidos pelo usuário.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C9D6E3"/>
          <w:left w:val="single" w:sz="4" w:color="C9D6E3"/>
          <w:bottom w:val="single" w:sz="4" w:color="C9D6E3"/>
          <w:right w:val="single" w:sz="4" w:color="C9D6E3"/>
          <w:insideH w:val="single" w:sz="4" w:color="C9D6E3"/>
          <w:insideV w:val="single" w:sz="4" w:color="C9D6E3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EAF3FB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sz w:val="18"/>
              </w:rPr>
              <w:t xml:space="preserve">Aba</w:t>
            </w:r>
          </w:p>
        </w:tc>
        <w:tc>
          <w:tcPr>
            <w:shd w:val="clear" w:color="auto" w:fill="EAF3FB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sz w:val="18"/>
              </w:rPr>
              <w:t xml:space="preserve">O que faz</w:t>
            </w:r>
          </w:p>
        </w:tc>
        <w:tc>
          <w:tcPr>
            <w:shd w:val="clear" w:color="auto" w:fill="EAF3FB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sz w:val="18"/>
              </w:rPr>
              <w:t xml:space="preserve">Medidas e critérios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Síntese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Leitura em texto do recorte com produtos visuais e “Em síntese”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Reúne as regras abaixo; 12 sínteses prontas; versão para imprimir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Distribuição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Frequências e cruzamentos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Contagem, % da linha, % da coluna e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associação</w:t>
            </w:r>
            <w:r>
              <w:rPr>
                <w:sz w:val="18"/>
              </w:rPr>
              <w:t xml:space="preserve">: resíduo ajustado de Haberman, (O − E) ÷ √(E × (1 − pᵢ) × (1 − pⱼ)), com E = nᵢ × nⱼ ÷ N; χ² e V de Cramér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Comparar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Dois recortes lado a lado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Diferença em pontos percentuais; teste z de duas proporções, significativo com |z| ≥ 1,96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Fluxos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Diagrama de Sankey (2 ou 3 etapas)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Contagem fracionada: notícia com várias categorias reparte o peso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Tipologias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Mapa de árvore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Área ∝ notícias, contagem fracionada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Correspondências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ACM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Codificação difusa, autovalores por Jacobi, inércia corrigida de Benzécri, 8 categorias por variável (validada contra numpy: inércia total 5,08; eixos 6,1% e 5,1% brutos, 41,7% e 17,2% corrigidos)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Redes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Coocorrência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Ligação com 2 ou mais notícias em comum; comunidades de Louvain; intermediação de Brandes; grau e força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Mapa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Pranchas e mapa navegável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Círculos com área ∝ notícias; taxa = notícias ÷ população × 100.000; classes em quintis;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destaques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pelo teste exato de Poisson (esperado = total × população do lugar ÷ população total; laranja com p &lt; 0,01 e 3 ou mais notícias; azul com p &lt; 0,01 para poucas);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bivariado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3 × 3 (notícias: nenhuma / até a mediana / acima; indicador em tercis);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LISA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(ver 7.1); animação mensal com escala comum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Contexto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Dispersão notícias por habitante × indicador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Pearson r e Spearman ρ (fraca até ±0,3; moderada até ±0,6; forte acima); reta de mínimos quadrados (log do indicador quando a escala é logarítmica);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muito acima/abaixo da tendência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quando o resíduo padronizado ≥ +1,5 ou ≤ −1,5; quadrantes pelas medianas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No tempo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Mês, calendário diário e série semanal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Semana de segunda a domingo;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pico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acima de Q3 + 1,5 × (Q3 − Q1); 12 acontecimentos de 2024 com fonte (</w:t>
            </w:r>
            <w:r>
              <w:rPr>
                <w:rStyle w:val="VerbatimChar"/>
                <w:sz w:val="18"/>
              </w:rPr>
              <w:t xml:space="preserve">acontecimentos_2024.csv</w:t>
            </w:r>
            <w:r>
              <w:rPr>
                <w:sz w:val="18"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Imprensa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Quem noticia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Curva de Lorenz, Gini, parcela dos 10 maiores, HHI, veículos × regiões em resíduos ajustados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Fichas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Prancha de uma organização, tipo, lugar ou objetivo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Perfis em % das notícias da ficha; mapa, detalhe da AMBA, série mensal; exportação PNG/SVG com a fonte Urbanist embutida</w:t>
            </w:r>
          </w:p>
        </w:tc>
      </w:tr>
    </w:tbl>
    <w:bookmarkStart w:id="37" w:name="Xea11f6940d713a04dff187ed0f1eb6d9257881f"/>
    <w:p>
      <w:pPr>
        <w:pStyle w:val="Heading3"/>
      </w:pPr>
      <w:r>
        <w:t xml:space="preserve">7.1 Pontos quentes e frios (LISA)</w:t>
      </w:r>
    </w:p>
    <w:p>
      <w:pPr>
        <w:pStyle w:val="FirstParagraph"/>
      </w:pPr>
      <w:r>
        <w:t xml:space="preserve">I de Moran local (Anselin, 1995), por departamento, calculado no navegador (</w:t>
      </w:r>
      <w:r>
        <w:rPr>
          <w:rStyle w:val="VerbatimChar"/>
        </w:rPr>
        <w:t xml:space="preserve">lisaCalc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assets/js/app/mapas.js</w:t>
      </w:r>
      <w:r>
        <w:t xml:space="preserve">):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Taxa bruta</w:t>
      </w:r>
      <w:r>
        <w:t xml:space="preserve"> </w:t>
      </w:r>
      <w:r>
        <w:t xml:space="preserve">de cada um dos 511 departamentos com população: notícias que citam o departamento ÷ população do Censo 2022 × 100.000 (departamentos sem notícias entram com zero).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Taxa bayesiana empírica global</w:t>
      </w:r>
      <w:r>
        <w:t xml:space="preserve"> </w:t>
      </w:r>
      <w:r>
        <w:t xml:space="preserve">(Marshall, 1991): taxa suavizada = m + w × (taxa bruta − m), com m = taxa nacional e w = A ÷ (A + m ÷ população), em que A é a variância entre departamentos descontado o ruído de Poisson. Aproxima da média os departamentos pequenos.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Escore z</w:t>
      </w:r>
      <w:r>
        <w:t xml:space="preserve"> </w:t>
      </w:r>
      <w:r>
        <w:t xml:space="preserve">das taxas suavizadas (média e desvio-padrão dos departamentos).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Vizinhança por contiguidade “rainha”</w:t>
      </w:r>
      <w:r>
        <w:t xml:space="preserve"> </w:t>
      </w:r>
      <w:r>
        <w:t xml:space="preserve">(fronteira ou vértice em comum,</w:t>
      </w:r>
      <w:r>
        <w:t xml:space="preserve"> </w:t>
      </w:r>
      <w:r>
        <w:rPr>
          <w:rStyle w:val="VerbatimChar"/>
        </w:rPr>
        <w:t xml:space="preserve">topojson.neighbors</w:t>
      </w:r>
      <w:r>
        <w:t xml:space="preserve">), pesos padronizados por linha; defasagem espacial = média dos z dos vizinhos. Departamentos sem vizinhos ficam fora.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 local</w:t>
      </w:r>
      <w:r>
        <w:t xml:space="preserve"> </w:t>
      </w:r>
      <w:r>
        <w:t xml:space="preserve">= zᵢ × média dos z vizinhos. Classes pelos sinais: alto-alto (ponto quente), baixo-baixo (ponto frio), alto-baixo, baixo-alto.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Permutação condicional</w:t>
      </w:r>
      <w:r>
        <w:t xml:space="preserve">: zᵢ fixo e k vizinhos sorteados sem reposição entre os demais departamentos, 499 vezes; p = (nº de sorteios tão extremos + 1) ÷ 500; classe pintada só com p &lt; 0,05. Semente fixa (resultado reprodutível).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 de Moran global</w:t>
      </w:r>
      <w:r>
        <w:t xml:space="preserve"> </w:t>
      </w:r>
      <w:r>
        <w:t xml:space="preserve">= Σ zᵢ × defasagemᵢ ÷ Σ zᵢ², com p por 199 permutações das taxas.</w:t>
      </w:r>
    </w:p>
    <w:p>
      <w:pPr>
        <w:pStyle w:val="FirstParagraph"/>
      </w:pPr>
      <w:r>
        <w:t xml:space="preserve">Cuidados registrados no site: cerca de 511 testes simultâneos (uns 26 falsos positivos esperados a 5%, sem correção de múltiplos testes); dependência da vizinhança e dos limites; a taxa mede cobertura da imprensa. No recorte completo (19/10/2026): 14 pontos quentes (sobretudo Patagônia andina e Tierra del Fuego), 55 pontos frios (sobretudo partidos do Gran Buenos Aires sem notícias), I global = 0,183 (p ≈ 0,005).</w:t>
      </w:r>
    </w:p>
    <w:p>
      <w:pPr>
        <w:pStyle w:val="BodyText"/>
      </w:pPr>
      <w:r>
        <w:rPr>
          <w:bCs/>
          <w:b/>
        </w:rPr>
        <w:t xml:space="preserve">Critérios da Síntese:</w:t>
      </w:r>
      <w:r>
        <w:t xml:space="preserve"> </w:t>
      </w:r>
      <w:r>
        <w:t xml:space="preserve">combinações características com resíduo ajustado ≥ +3 (p &lt; 0,003) e 5 ou mais notícias; combinações raras com resíduo ≤ −3; peso populacional por região a partir dos departamentos (separa o GBA do resto da província de Buenos Aires); correlações com Spearman nas 24 províncias, significativas a partir de ±0,41 (p &lt; 0,05), só com indicadores ligados às lutas.</w:t>
      </w:r>
    </w:p>
    <w:p>
      <w:pPr>
        <w:pStyle w:val="BodyText"/>
      </w:pPr>
      <w:r>
        <w:rPr>
          <w:bCs/>
          <w:b/>
        </w:rPr>
        <w:t xml:space="preserve">Recursos de leitura:</w:t>
      </w:r>
      <w:r>
        <w:t xml:space="preserve"> </w:t>
      </w:r>
      <w:r>
        <w:t xml:space="preserve">guia “Como ler” em todas as abas; glossário com 30 termos; 139 combinações prontas, cada uma com leitura em três partes (o que mostra, o que os dados dizem no recorte atual, como foi calculado); quadro “Como foi calculado este mapa”; “Como foi calculado” no Contexto; link que guarda aba, variáveis e filtros no endereço.</w:t>
      </w:r>
    </w:p>
    <w:p>
      <w:pPr>
        <w:pStyle w:val="BodyText"/>
      </w:pPr>
      <w:r>
        <w:rPr>
          <w:bCs/>
          <w:b/>
        </w:rPr>
        <w:t xml:space="preserve">Identidade visual:</w:t>
      </w:r>
      <w:r>
        <w:t xml:space="preserve"> </w:t>
      </w:r>
      <w:r>
        <w:t xml:space="preserve">fundo branco, tipografia Urbanist (hospedada no próprio site, licença OFL), ilustração de marcha gerada a partir dos objetivos mais frequentes da base; mapas em Arial para exportação estável.</w:t>
      </w:r>
    </w:p>
    <w:bookmarkEnd w:id="37"/>
    <w:bookmarkStart w:id="38" w:name="X6462eb4f94f59a5ac833c9718ffe94916519a9f"/>
    <w:p>
      <w:pPr>
        <w:pStyle w:val="Heading3"/>
      </w:pPr>
      <w:r>
        <w:t xml:space="preserve">7.2 Seletores de ano e país e busca nas notícias</w:t>
      </w:r>
    </w:p>
    <w:p>
      <w:pPr>
        <w:numPr>
          <w:ilvl w:val="0"/>
          <w:numId w:val="1005"/>
        </w:numPr>
        <w:pStyle w:val="Compact"/>
      </w:pPr>
      <w:r>
        <w:t xml:space="preserve">No topo da base, ao lado da variável e do cruzamento, há</w:t>
      </w:r>
      <w:r>
        <w:t xml:space="preserve"> </w:t>
      </w:r>
      <w:r>
        <w:rPr>
          <w:bCs/>
          <w:b/>
        </w:rPr>
        <w:t xml:space="preserve">seletores de ano e de país</w:t>
      </w:r>
      <w:r>
        <w:t xml:space="preserve"> </w:t>
      </w:r>
      <w:r>
        <w:t xml:space="preserve">(</w:t>
      </w:r>
      <w:r>
        <w:rPr>
          <w:rStyle w:val="VerbatimChar"/>
        </w:rPr>
        <w:t xml:space="preserve">fAno</w:t>
      </w:r>
      <w:r>
        <w:t xml:space="preserve">,</w:t>
      </w:r>
      <w:r>
        <w:t xml:space="preserve"> </w:t>
      </w:r>
      <w:r>
        <w:rPr>
          <w:rStyle w:val="VerbatimChar"/>
        </w:rPr>
        <w:t xml:space="preserve">fPais</w:t>
      </w:r>
      <w:r>
        <w:t xml:space="preserve">), que filtram todas as abas, e um</w:t>
      </w:r>
      <w:r>
        <w:t xml:space="preserve"> </w:t>
      </w:r>
      <w:r>
        <w:rPr>
          <w:bCs/>
          <w:b/>
        </w:rPr>
        <w:t xml:space="preserve">campo de busca</w:t>
      </w:r>
      <w:r>
        <w:t xml:space="preserve"> </w:t>
      </w:r>
      <w:r>
        <w:t xml:space="preserve">(</w:t>
      </w:r>
      <w:r>
        <w:rPr>
          <w:rStyle w:val="VerbatimChar"/>
        </w:rPr>
        <w:t xml:space="preserve">qTop</w:t>
      </w:r>
      <w:r>
        <w:t xml:space="preserve">) sempre visível.</w:t>
      </w:r>
    </w:p>
    <w:p>
      <w:pPr>
        <w:numPr>
          <w:ilvl w:val="0"/>
          <w:numId w:val="1005"/>
        </w:numPr>
        <w:pStyle w:val="Compact"/>
      </w:pPr>
      <w:r>
        <w:t xml:space="preserve">A busca procura a palavra no título, na fonte e no código da notícia, sem diferenciar maiúsculas nem acentos. Ela</w:t>
      </w:r>
      <w:r>
        <w:t xml:space="preserve"> </w:t>
      </w:r>
      <w:r>
        <w:rPr>
          <w:bCs/>
          <w:b/>
        </w:rPr>
        <w:t xml:space="preserve">filtra todas as abas</w:t>
      </w:r>
      <w:r>
        <w:t xml:space="preserve"> </w:t>
      </w:r>
      <w:r>
        <w:t xml:space="preserve">(antes valia só para a lista de notícias), aparece como etiqueta “Palavra: …” nos filtros, entra no texto do recorte das pranchas e fica guardada no link (</w:t>
      </w:r>
      <w:r>
        <w:rPr>
          <w:rStyle w:val="VerbatimChar"/>
        </w:rPr>
        <w:t xml:space="preserve">q=</w:t>
      </w:r>
      <w:r>
        <w:t xml:space="preserve">). O botão “Ver notícias” leva à lista do recorte.</w:t>
      </w:r>
    </w:p>
    <w:bookmarkEnd w:id="38"/>
    <w:bookmarkStart w:id="39" w:name="X4031718f82c58153f462ccdd941a59e04038a6e"/>
    <w:p>
      <w:pPr>
        <w:pStyle w:val="Heading3"/>
      </w:pPr>
      <w:r>
        <w:t xml:space="preserve">7.3 Página “Sobre e metodologia”</w:t>
      </w:r>
    </w:p>
    <w:p>
      <w:pPr>
        <w:pStyle w:val="FirstParagraph"/>
      </w:pPr>
      <w:r>
        <w:rPr>
          <w:rStyle w:val="VerbatimChar"/>
        </w:rPr>
        <w:t xml:space="preserve">sobre/index.html</w:t>
      </w:r>
      <w:r>
        <w:t xml:space="preserve"> </w:t>
      </w:r>
      <w:r>
        <w:t xml:space="preserve">(estilo em</w:t>
      </w:r>
      <w:r>
        <w:t xml:space="preserve"> </w:t>
      </w:r>
      <w:r>
        <w:rPr>
          <w:rStyle w:val="VerbatimChar"/>
        </w:rPr>
        <w:t xml:space="preserve">assets/css/sobre.css</w:t>
      </w:r>
      <w:r>
        <w:t xml:space="preserve">): o que é a base, como foi construída (codificação, anonimização, padronização, georreferenciação, indicadores, publicação), variáveis por dimensão, fontes oficiais, como os números são calculados, ferramentas, limites, licença e citação. Ligada no menu da página inicial e da base.</w:t>
      </w:r>
    </w:p>
    <w:bookmarkEnd w:id="39"/>
    <w:bookmarkStart w:id="40" w:name="Xe2536c815164416847d5f5b617d6e05abe31b59"/>
    <w:p>
      <w:pPr>
        <w:pStyle w:val="Heading3"/>
      </w:pPr>
      <w:r>
        <w:t xml:space="preserve">7.4 Versão em espanhol</w:t>
      </w:r>
    </w:p>
    <w:p>
      <w:pPr>
        <w:numPr>
          <w:ilvl w:val="0"/>
          <w:numId w:val="1006"/>
        </w:numPr>
        <w:pStyle w:val="Compact"/>
      </w:pPr>
      <w:r>
        <w:t xml:space="preserve">Endereços:</w:t>
      </w:r>
      <w:r>
        <w:t xml:space="preserve"> </w:t>
      </w:r>
      <w:r>
        <w:rPr>
          <w:rStyle w:val="VerbatimChar"/>
        </w:rPr>
        <w:t xml:space="preserve">/es/</w:t>
      </w:r>
      <w:r>
        <w:t xml:space="preserve">,</w:t>
      </w:r>
      <w:r>
        <w:t xml:space="preserve"> </w:t>
      </w:r>
      <w:r>
        <w:rPr>
          <w:rStyle w:val="VerbatimChar"/>
        </w:rPr>
        <w:t xml:space="preserve">/es/base/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/es/sobre/</w:t>
      </w:r>
      <w:r>
        <w:t xml:space="preserve">; o link “Español”/“Português” no menu troca de idioma (na base, mantendo aba e filtros).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Como é gerada.</w:t>
      </w:r>
      <w:r>
        <w:t xml:space="preserve"> </w:t>
      </w:r>
      <w:r>
        <w:t xml:space="preserve">O português continua sendo o original.</w:t>
      </w:r>
      <w:r>
        <w:t xml:space="preserve"> </w:t>
      </w:r>
      <w:r>
        <w:rPr>
          <w:rStyle w:val="VerbatimChar"/>
        </w:rPr>
        <w:t xml:space="preserve">i18n/ferramenta.js</w:t>
      </w:r>
      <w:r>
        <w:t xml:space="preserve"> </w:t>
      </w:r>
      <w:r>
        <w:t xml:space="preserve">(Node) lê o JavaScript com o analisador do TypeScript e as páginas HTML, encontra cada trecho de texto e o troca pela tradução do catálogo</w:t>
      </w:r>
      <w:r>
        <w:t xml:space="preserve"> </w:t>
      </w:r>
      <w:r>
        <w:rPr>
          <w:rStyle w:val="VerbatimChar"/>
        </w:rPr>
        <w:t xml:space="preserve">i18n/es.json</w:t>
      </w:r>
      <w:r>
        <w:t xml:space="preserve"> </w:t>
      </w:r>
      <w:r>
        <w:t xml:space="preserve">(pares “texto em português” → “texto em espanhol”, cerca de 1.800). Palavras curtas que em outros arquivos são chaves internas (meses abreviados, “forte”, “baixo”…) são traduzidas só no arquivo certo, por</w:t>
      </w:r>
      <w:r>
        <w:t xml:space="preserve"> </w:t>
      </w:r>
      <w:r>
        <w:rPr>
          <w:rStyle w:val="VerbatimChar"/>
        </w:rPr>
        <w:t xml:space="preserve">i18n/es-contexto.json</w:t>
      </w:r>
      <w:r>
        <w:t xml:space="preserve">. Textos que são iguais nas duas línguas ou não devem ser traduzidos (nomes de organizações, seletores CSS, definições do INDEC já em espanhol) ficam em</w:t>
      </w:r>
      <w:r>
        <w:t xml:space="preserve"> </w:t>
      </w:r>
      <w:r>
        <w:rPr>
          <w:rStyle w:val="VerbatimChar"/>
        </w:rPr>
        <w:t xml:space="preserve">i18n/ignorar.json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Saídas geradas (não editar à mão):</w:t>
      </w:r>
      <w:r>
        <w:t xml:space="preserve"> </w:t>
      </w:r>
      <w:r>
        <w:rPr>
          <w:rStyle w:val="VerbatimChar"/>
        </w:rPr>
        <w:t xml:space="preserve">es/index.html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es/base/index.html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es/sobre/index.html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assets/js/app-es/*.js</w:t>
      </w:r>
      <w:r>
        <w:t xml:space="preserve">. Rótulos que vêm dos dados (nomes das variáveis, meses, indicadores, acontecimentos) são traduzidos no navegador, logo depois de carregar os JSON (</w:t>
      </w:r>
      <w:r>
        <w:rPr>
          <w:rStyle w:val="VerbatimChar"/>
        </w:rPr>
        <w:t xml:space="preserve">TR_DADOS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assets/js/app-es/carregar.js</w:t>
      </w:r>
      <w:r>
        <w:t xml:space="preserve">). Datas e números usam o formato</w:t>
      </w:r>
      <w:r>
        <w:t xml:space="preserve"> </w:t>
      </w:r>
      <w:r>
        <w:rPr>
          <w:rStyle w:val="VerbatimChar"/>
        </w:rPr>
        <w:t xml:space="preserve">es-AR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O GitHub Actions gera a versão em espanhol a cada publicação.</w:t>
      </w:r>
      <w:r>
        <w:t xml:space="preserve"> </w:t>
      </w:r>
      <w:r>
        <w:rPr>
          <w:bCs/>
          <w:b/>
        </w:rPr>
        <w:t xml:space="preserve">Ao mudar um texto em português</w:t>
      </w:r>
      <w:r>
        <w:t xml:space="preserve">, rode</w:t>
      </w:r>
      <w:r>
        <w:t xml:space="preserve"> </w:t>
      </w:r>
      <w:r>
        <w:rPr>
          <w:rStyle w:val="VerbatimChar"/>
        </w:rPr>
        <w:t xml:space="preserve">node i18n/ferramenta.js gerar</w:t>
      </w:r>
      <w:r>
        <w:t xml:space="preserve">: o que ficar sem tradução aparece em</w:t>
      </w:r>
      <w:r>
        <w:t xml:space="preserve"> </w:t>
      </w:r>
      <w:r>
        <w:rPr>
          <w:rStyle w:val="VerbatimChar"/>
        </w:rPr>
        <w:t xml:space="preserve">i18n/pendentes.json</w:t>
      </w:r>
      <w:r>
        <w:t xml:space="preserve"> </w:t>
      </w:r>
      <w:r>
        <w:t xml:space="preserve">(e no site, em português) até ser acrescentado ao catálogo.</w:t>
      </w:r>
    </w:p>
    <w:p>
      <w:pPr>
        <w:numPr>
          <w:ilvl w:val="0"/>
          <w:numId w:val="1006"/>
        </w:numPr>
        <w:pStyle w:val="Compact"/>
      </w:pPr>
      <w:r>
        <w:t xml:space="preserve">As categorias da base (tipos de movimento, objetivos etc.) já estão em espanhol na planilha e não mudam.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X9a8a5c3f4675aaafcd01bef6e7fb33b3e7de441"/>
    <w:p>
      <w:pPr>
        <w:pStyle w:val="Heading2"/>
      </w:pPr>
      <w:r>
        <w:t xml:space="preserve">8. Verificações de qualidade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C9D6E3"/>
          <w:left w:val="single" w:sz="4" w:color="C9D6E3"/>
          <w:bottom w:val="single" w:sz="4" w:color="C9D6E3"/>
          <w:right w:val="single" w:sz="4" w:color="C9D6E3"/>
          <w:insideH w:val="single" w:sz="4" w:color="C9D6E3"/>
          <w:insideV w:val="single" w:sz="4" w:color="C9D6E3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EAF3FB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sz w:val="18"/>
              </w:rPr>
              <w:t xml:space="preserve">Verificação</w:t>
            </w:r>
          </w:p>
        </w:tc>
        <w:tc>
          <w:tcPr>
            <w:shd w:val="clear" w:color="auto" w:fill="EAF3FB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sz w:val="18"/>
              </w:rPr>
              <w:t xml:space="preserve">Resultado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Totais do RENABAP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6.467 bairros e 1.237.795 famílias, iguais aos do registro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Totais eleitorais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LLA 29,99% e UxP 36,69% dos votos positivos, iguais ao resultado oficial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ReNaTEP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3.425.500 inscritos com província e 28.025.327 pessoas de 18 a 65 anos, iguais ao cuadro 2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Femicídios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228 vítimas diretas, igual à tabela 6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Casamento de departamentos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Todos os nomes do RENABAP e das eleições têm polígono, salvo Antártida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ACM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Conferida contra implementação em numpy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Regressão do site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Script automático abre as 12 abas e clica nas 139 combinações prontas, em português e em espanhol: sem erros (30/10/2026)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Versão em espanhol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Catálogo sem pendências (</w:t>
            </w:r>
            <w:r>
              <w:rPr>
                <w:rStyle w:val="VerbatimChar"/>
                <w:sz w:val="18"/>
              </w:rPr>
              <w:t xml:space="preserve">i18n/pendentes.json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vazio); varredura das páginas em espanhol, depois de clicar nas combinações prontas, sem palavras em português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Privacidade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sz w:val="18"/>
              </w:rPr>
              <w:t xml:space="preserve">verificar_privacidade.py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 cada publicação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Leiaute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Painéis conferidos em 1300, 1024, 760 e 390 px de largura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7" w:name="X37a24ddc49ec6a08847d5e7c09b751dfa640a32"/>
    <w:p>
      <w:pPr>
        <w:pStyle w:val="Heading2"/>
      </w:pPr>
      <w:r>
        <w:t xml:space="preserve">9. Registro de alterações</w:t>
      </w:r>
    </w:p>
    <w:p>
      <w:pPr>
        <w:pStyle w:val="FirstParagraph"/>
      </w:pPr>
      <w:r>
        <w:t xml:space="preserve">Datas no fuso de São Paulo. Os códigos entre colchetes são os commits do repositório.</w:t>
      </w:r>
    </w:p>
    <w:bookmarkStart w:id="43" w:name="Xb374f4671a78533177f9e41d94caa4dc6b2e1e1"/>
    <w:p>
      <w:pPr>
        <w:pStyle w:val="Heading3"/>
      </w:pPr>
      <w:r>
        <w:t xml:space="preserve">18/10/2026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Primeira versão do site</w:t>
      </w:r>
      <w:r>
        <w:t xml:space="preserve"> </w:t>
      </w:r>
      <w:r>
        <w:t xml:space="preserve">e base interativa 2024 publicadas no GitHub Pages [bf1632d, 5c440c7].</w:t>
      </w:r>
    </w:p>
    <w:p>
      <w:pPr>
        <w:numPr>
          <w:ilvl w:val="0"/>
          <w:numId w:val="1007"/>
        </w:numPr>
        <w:pStyle w:val="Compact"/>
      </w:pPr>
      <w:r>
        <w:t xml:space="preserve">Navegação por endereço (</w:t>
      </w:r>
      <w:r>
        <w:rPr>
          <w:rStyle w:val="VerbatimChar"/>
        </w:rPr>
        <w:t xml:space="preserve">#mapa</w:t>
      </w:r>
      <w:r>
        <w:t xml:space="preserve">,</w:t>
      </w:r>
      <w:r>
        <w:t xml:space="preserve"> </w:t>
      </w:r>
      <w:r>
        <w:rPr>
          <w:rStyle w:val="VerbatimChar"/>
        </w:rPr>
        <w:t xml:space="preserve">#tempo</w:t>
      </w:r>
      <w:r>
        <w:t xml:space="preserve">), zoom e arraste nos mapas; README com metodologia e fontes [c1a0ced, 3f2981b].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Pipeline em Python</w:t>
      </w:r>
      <w:r>
        <w:t xml:space="preserve">, código modular, dados abertos e GeoPackage para QGIS; publicação automática pelo GitHub Actions com verificação de privacidade [a33414f, cc7cd3c].</w:t>
      </w:r>
    </w:p>
    <w:p>
      <w:pPr>
        <w:numPr>
          <w:ilvl w:val="0"/>
          <w:numId w:val="1007"/>
        </w:numPr>
        <w:pStyle w:val="Compact"/>
      </w:pPr>
      <w:r>
        <w:t xml:space="preserve">Identidade argentina, gráficos especializados e primeiros indicadores oficiais (população, EPH, homicídios) [968ee5c].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28 indicadores do Censo 2022 por departamento</w:t>
      </w:r>
      <w:r>
        <w:t xml:space="preserve"> </w:t>
      </w:r>
      <w:r>
        <w:t xml:space="preserve">(Geoportal do INDEC) e taxas por departamento [9c2705c].</w:t>
      </w:r>
    </w:p>
    <w:p>
      <w:pPr>
        <w:numPr>
          <w:ilvl w:val="0"/>
          <w:numId w:val="1007"/>
        </w:numPr>
        <w:pStyle w:val="Compact"/>
      </w:pPr>
      <w:r>
        <w:t xml:space="preserve">Nova identidade visual com fundo branco e marcha desenhada; tipografia Urbanist [ee5db14, 504893c].</w:t>
      </w:r>
    </w:p>
    <w:p>
      <w:pPr>
        <w:numPr>
          <w:ilvl w:val="0"/>
          <w:numId w:val="1007"/>
        </w:numPr>
        <w:pStyle w:val="Compact"/>
      </w:pPr>
      <w:r>
        <w:t xml:space="preserve">Novas análises: associação (resíduos), Comparar, ACM, mapa bivariado, LISA, série semanal com acontecimentos, comunidades, Imprensa, Fichas e links do recorte [3e910b0].</w:t>
      </w:r>
    </w:p>
    <w:p>
      <w:pPr>
        <w:numPr>
          <w:ilvl w:val="0"/>
          <w:numId w:val="1007"/>
        </w:numPr>
        <w:pStyle w:val="Compact"/>
      </w:pPr>
      <w:r>
        <w:t xml:space="preserve">Guias “Como ler”, exemplos, leituras automáticas, topônimos que mudam com o zoom e ficha em formato de prancha [88a2c6e, c896e9e].</w:t>
      </w:r>
    </w:p>
    <w:p>
      <w:pPr>
        <w:numPr>
          <w:ilvl w:val="0"/>
          <w:numId w:val="1007"/>
        </w:numPr>
        <w:pStyle w:val="Compact"/>
      </w:pPr>
      <w:r>
        <w:t xml:space="preserve">Mapa navegável mundial, destaques por população (Poisson), combinações prontas em todas as abas, glossário [f80c8bd].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Título DATALUTA</w:t>
      </w:r>
      <w:r>
        <w:t xml:space="preserve">, revisão dos textos e troca do mapa base (CARTO exigia chave; passou a Esri/OSM) [81c0a67].</w:t>
      </w:r>
    </w:p>
    <w:p>
      <w:pPr>
        <w:numPr>
          <w:ilvl w:val="0"/>
          <w:numId w:val="1007"/>
        </w:numPr>
        <w:pStyle w:val="Compact"/>
      </w:pPr>
      <w:r>
        <w:t xml:space="preserve">Título com</w:t>
      </w:r>
      <w:r>
        <w:t xml:space="preserve"> </w:t>
      </w:r>
      <w:r>
        <w:rPr>
          <w:bCs/>
          <w:b/>
        </w:rPr>
        <w:t xml:space="preserve">Argentina 2024</w:t>
      </w:r>
      <w:r>
        <w:t xml:space="preserve">,</w:t>
      </w:r>
      <w:r>
        <w:t xml:space="preserve"> </w:t>
      </w:r>
      <w:r>
        <w:rPr>
          <w:bCs/>
          <w:b/>
        </w:rPr>
        <w:t xml:space="preserve">aba Síntese</w:t>
      </w:r>
      <w:r>
        <w:t xml:space="preserve"> </w:t>
      </w:r>
      <w:r>
        <w:t xml:space="preserve">e novas combinações prontas [ec307a2].</w:t>
      </w:r>
    </w:p>
    <w:p>
      <w:pPr>
        <w:numPr>
          <w:ilvl w:val="0"/>
          <w:numId w:val="1007"/>
        </w:numPr>
        <w:pStyle w:val="Compact"/>
      </w:pPr>
      <w:r>
        <w:t xml:space="preserve">Síntese: explicação passo a passo do resíduo ajustado, régua de leitura e combinações raras [2ee97ab].</w:t>
      </w:r>
    </w:p>
    <w:bookmarkEnd w:id="43"/>
    <w:bookmarkStart w:id="44" w:name="Xfda8f6a74ee01990937dc6b5f77dee589813531"/>
    <w:p>
      <w:pPr>
        <w:pStyle w:val="Heading3"/>
      </w:pPr>
      <w:r>
        <w:t xml:space="preserve">19/10/2026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Contexto ligado às lutas:</w:t>
      </w:r>
      <w:r>
        <w:t xml:space="preserve"> </w:t>
      </w:r>
      <w:r>
        <w:t xml:space="preserve">entram RENABAP, ReNaTEP, voto presidencial de 2023 e femicídios; indicadores separados em “ligados às lutas” e “controles” [6f0fe22].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Indicadores sem ligação com as lutas retirados do site</w:t>
      </w:r>
      <w:r>
        <w:t xml:space="preserve">; El Cuy deixado vazio no RENABAP; painel do mapa reorganizado em três blocos; quadro “Como foi calculado este mapa”; cálculo da tendência explicado no Contexto;</w:t>
      </w:r>
      <w:r>
        <w:t xml:space="preserve"> </w:t>
      </w:r>
      <w:r>
        <w:rPr>
          <w:bCs/>
          <w:b/>
        </w:rPr>
        <w:t xml:space="preserve">leitura em três partes para as 139 combinações prontas</w:t>
      </w:r>
      <w:r>
        <w:t xml:space="preserve"> </w:t>
      </w:r>
      <w:r>
        <w:t xml:space="preserve">[5839d6f].</w:t>
      </w:r>
    </w:p>
    <w:p>
      <w:pPr>
        <w:numPr>
          <w:ilvl w:val="0"/>
          <w:numId w:val="1008"/>
        </w:numPr>
        <w:pStyle w:val="Compact"/>
      </w:pPr>
      <w:r>
        <w:t xml:space="preserve">Criado este documento de processo e o roteiro</w:t>
      </w:r>
      <w:r>
        <w:t xml:space="preserve"> </w:t>
      </w:r>
      <w:r>
        <w:rPr>
          <w:rStyle w:val="VerbatimChar"/>
        </w:rPr>
        <w:t xml:space="preserve">pipeline/reconstruir.sh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Licenças definidas:</w:t>
      </w:r>
      <w:r>
        <w:t xml:space="preserve"> </w:t>
      </w:r>
      <w:r>
        <w:t xml:space="preserve">base de dados sob CC BY 4.0 (arquivo</w:t>
      </w:r>
      <w:r>
        <w:t xml:space="preserve"> </w:t>
      </w:r>
      <w:r>
        <w:rPr>
          <w:rStyle w:val="VerbatimChar"/>
        </w:rPr>
        <w:t xml:space="preserve">LICENSE</w:t>
      </w:r>
      <w:r>
        <w:t xml:space="preserve">, que o GitHub reconhece) e código sob MIT (</w:t>
      </w:r>
      <w:r>
        <w:rPr>
          <w:rStyle w:val="VerbatimChar"/>
        </w:rPr>
        <w:t xml:space="preserve">LICENCA-CODIGO</w:t>
      </w:r>
      <w:r>
        <w:t xml:space="preserve">);</w:t>
      </w:r>
      <w:r>
        <w:t xml:space="preserve"> </w:t>
      </w:r>
      <w:r>
        <w:rPr>
          <w:rStyle w:val="VerbatimChar"/>
        </w:rPr>
        <w:t xml:space="preserve">LICENCAS.md</w:t>
      </w:r>
      <w:r>
        <w:t xml:space="preserve"> </w:t>
      </w:r>
      <w:r>
        <w:t xml:space="preserve">explica o que cada uma cobre, lista as condições dos dados de terceiros e traz a forma de citar; rodapés do site e README atualizados. Motivo: sem licença, ninguém tinha permissão formal de reutilizar a base; a CC BY 4.0 é o padrão em dados científicos abertos, garante o crédito e é compatível com o GeoNames e o datos.gob.ar.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Versão em Word do documento de processo</w:t>
      </w:r>
      <w:r>
        <w:t xml:space="preserve"> </w:t>
      </w:r>
      <w:r>
        <w:t xml:space="preserve">(</w:t>
      </w:r>
      <w:r>
        <w:rPr>
          <w:rStyle w:val="VerbatimChar"/>
        </w:rPr>
        <w:t xml:space="preserve">PROCESSO.docx</w:t>
      </w:r>
      <w:r>
        <w:t xml:space="preserve">), gerada a partir deste arquivo por</w:t>
      </w:r>
      <w:r>
        <w:t xml:space="preserve"> </w:t>
      </w:r>
      <w:r>
        <w:rPr>
          <w:rStyle w:val="VerbatimChar"/>
        </w:rPr>
        <w:t xml:space="preserve">pipeline/gerar_processo_docx.py</w:t>
      </w:r>
      <w:r>
        <w:t xml:space="preserve"> </w:t>
      </w:r>
      <w:r>
        <w:t xml:space="preserve">(pandoc + python-docx), para circular no grupo.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LISA explicado passo a passo</w:t>
      </w:r>
      <w:r>
        <w:t xml:space="preserve"> </w:t>
      </w:r>
      <w:r>
        <w:t xml:space="preserve">no quadro “Como foi calculado este mapa” (abre sozinho na primeira vez), com exemplo numérico de um ponto quente e de um ponto frio, lista dos departamentos, I global e cuidados; dica do mapa mostra z, média dos vizinhos e I local; glossário e guia ampliados. O teste de permutação passou a sortear os vizinhos</w:t>
      </w:r>
      <w:r>
        <w:t xml:space="preserve"> </w:t>
      </w:r>
      <w:r>
        <w:rPr>
          <w:bCs/>
          <w:b/>
        </w:rPr>
        <w:t xml:space="preserve">sem reposição</w:t>
      </w:r>
      <w:r>
        <w:t xml:space="preserve"> </w:t>
      </w:r>
      <w:r>
        <w:t xml:space="preserve">(permutação condicional, como no GeoDa); antes sorteava com reposição. Motivo: pedido de deixar claro como o LISA é calculado.</w:t>
      </w:r>
    </w:p>
    <w:bookmarkEnd w:id="44"/>
    <w:bookmarkStart w:id="45" w:name="X0243e2acffdb3298bb3301518b805b778538cf8"/>
    <w:p>
      <w:pPr>
        <w:pStyle w:val="Heading3"/>
      </w:pPr>
      <w:r>
        <w:t xml:space="preserve">28/10/2026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Fichas:</w:t>
      </w:r>
      <w:r>
        <w:t xml:space="preserve"> </w:t>
      </w:r>
      <w:r>
        <w:t xml:space="preserve">a escolha passou a ser uma lista fechada só com as categorias do tipo de ficha escolhido (por exemplo, só objetivos), com o número de notícias, e um campo para filtrar a lista. Motivo: o campo de texto anterior, com sugestões, deixava o navegador misturar valores digitados antes em outros tipos de ficha (nomes de movimentos, províncias).</w:t>
      </w:r>
    </w:p>
    <w:bookmarkEnd w:id="45"/>
    <w:bookmarkStart w:id="46" w:name="X6d16d1d1dfee84c5325917dbbdeb1135ee226ab"/>
    <w:p>
      <w:pPr>
        <w:pStyle w:val="Heading3"/>
      </w:pPr>
      <w:r>
        <w:t xml:space="preserve">30/10/2026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Ano e país</w:t>
      </w:r>
      <w:r>
        <w:t xml:space="preserve"> </w:t>
      </w:r>
      <w:r>
        <w:t xml:space="preserve">entram como variáveis (colunas opcionais</w:t>
      </w:r>
      <w:r>
        <w:t xml:space="preserve"> </w:t>
      </w:r>
      <w:r>
        <w:rPr>
          <w:rStyle w:val="VerbatimChar"/>
        </w:rPr>
        <w:t xml:space="preserve">Año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País</w:t>
      </w:r>
      <w:r>
        <w:t xml:space="preserve"> </w:t>
      </w:r>
      <w:r>
        <w:t xml:space="preserve">da planilha) e como</w:t>
      </w:r>
      <w:r>
        <w:t xml:space="preserve"> </w:t>
      </w:r>
      <w:r>
        <w:rPr>
          <w:bCs/>
          <w:b/>
        </w:rPr>
        <w:t xml:space="preserve">seletores no topo da base</w:t>
      </w:r>
      <w:r>
        <w:t xml:space="preserve">. Motivo: preparar a base para juntar os cinco anos da Argentina e os dados do Brasil numa só planilha padronizada.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Busca mais visível:</w:t>
      </w:r>
      <w:r>
        <w:t xml:space="preserve"> </w:t>
      </w:r>
      <w:r>
        <w:t xml:space="preserve">campo fixo no topo da base que filtra todas as abas, com etiqueta nos filtros e guardado no link. Motivo: a busca ficava escondida no fim da página e só valia para a lista de notícias.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Página “Sobre e metodologia”</w:t>
      </w:r>
      <w:r>
        <w:t xml:space="preserve"> </w:t>
      </w:r>
      <w:r>
        <w:t xml:space="preserve">(</w:t>
      </w:r>
      <w:r>
        <w:rPr>
          <w:rStyle w:val="VerbatimChar"/>
        </w:rPr>
        <w:t xml:space="preserve">/sobre/</w:t>
      </w:r>
      <w:r>
        <w:t xml:space="preserve">). Motivo: reunir num só lugar como a base foi feita, com fontes, cálculos, limites e citação.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Versão em espanhol</w:t>
      </w:r>
      <w:r>
        <w:t xml:space="preserve"> </w:t>
      </w:r>
      <w:r>
        <w:t xml:space="preserve">(</w:t>
      </w:r>
      <w:r>
        <w:rPr>
          <w:rStyle w:val="VerbatimChar"/>
        </w:rPr>
        <w:t xml:space="preserve">/es/</w:t>
      </w:r>
      <w:r>
        <w:t xml:space="preserve">), gerada a partir do português por</w:t>
      </w:r>
      <w:r>
        <w:t xml:space="preserve"> </w:t>
      </w:r>
      <w:r>
        <w:rPr>
          <w:rStyle w:val="VerbatimChar"/>
        </w:rPr>
        <w:t xml:space="preserve">i18n/ferramenta.js</w:t>
      </w:r>
      <w:r>
        <w:t xml:space="preserve"> </w:t>
      </w:r>
      <w:r>
        <w:t xml:space="preserve">com o catálogo</w:t>
      </w:r>
      <w:r>
        <w:t xml:space="preserve"> </w:t>
      </w:r>
      <w:r>
        <w:rPr>
          <w:rStyle w:val="VerbatimChar"/>
        </w:rPr>
        <w:t xml:space="preserve">i18n/es.json</w:t>
      </w:r>
      <w:r>
        <w:t xml:space="preserve">; o GitHub Actions passou a gerá-la e a publicar também</w:t>
      </w:r>
      <w:r>
        <w:t xml:space="preserve"> </w:t>
      </w:r>
      <w:r>
        <w:rPr>
          <w:rStyle w:val="VerbatimChar"/>
        </w:rPr>
        <w:t xml:space="preserve">sobre/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es/</w:t>
      </w:r>
      <w:r>
        <w:t xml:space="preserve">. Motivo: o público da base é sobretudo argentino e latino-americano (CLACSO).</w:t>
      </w:r>
    </w:p>
    <w:p>
      <w:pPr>
        <w:numPr>
          <w:ilvl w:val="0"/>
          <w:numId w:val="1010"/>
        </w:numPr>
        <w:pStyle w:val="Compact"/>
      </w:pPr>
      <w:r>
        <w:t xml:space="preserve">Seção 2, 4, 7 e 8 atualizadas;</w:t>
      </w:r>
      <w:r>
        <w:t xml:space="preserve"> </w:t>
      </w:r>
      <w:r>
        <w:rPr>
          <w:rStyle w:val="VerbatimChar"/>
        </w:rPr>
        <w:t xml:space="preserve">pipeline/reconstruir.sh</w:t>
      </w:r>
      <w:r>
        <w:t xml:space="preserve"> </w:t>
      </w:r>
      <w:r>
        <w:t xml:space="preserve">ganhou o passo da versão em espanhol.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X3d9f82193e44c2a113d49ff9b97f8db3ae86c66"/>
    <w:p>
      <w:pPr>
        <w:pStyle w:val="Heading2"/>
      </w:pPr>
      <w:r>
        <w:t xml:space="preserve">10. Pendências</w:t>
      </w:r>
    </w:p>
    <w:p>
      <w:pPr>
        <w:numPr>
          <w:ilvl w:val="0"/>
          <w:numId w:val="101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Licenças:</w:t>
      </w:r>
      <w:r>
        <w:t xml:space="preserve"> </w:t>
      </w:r>
      <w:r>
        <w:t xml:space="preserve">o arquivo</w:t>
      </w:r>
      <w:r>
        <w:t xml:space="preserve"> </w:t>
      </w:r>
      <w:r>
        <w:rPr>
          <w:rStyle w:val="VerbatimChar"/>
        </w:rPr>
        <w:t xml:space="preserve">LICENSE</w:t>
      </w:r>
      <w:r>
        <w:t xml:space="preserve"> </w:t>
      </w:r>
      <w:r>
        <w:t xml:space="preserve">foi trocado no GitHub para MIT (commit 6f63b69), mas</w:t>
      </w:r>
      <w:r>
        <w:t xml:space="preserve"> </w:t>
      </w:r>
      <w:r>
        <w:rPr>
          <w:rStyle w:val="VerbatimChar"/>
        </w:rPr>
        <w:t xml:space="preserve">LICENCAS.md</w:t>
      </w:r>
      <w:r>
        <w:t xml:space="preserve">, README, página Sobre e rodapés ainda dizem base de dados sob CC BY 4.0 e código sob MIT. Decidir entre manter CC BY 4.0 para os dados (recomendado) ou adotar MIT para tudo, e alinhar os arquivos. Confirmar também com o grupo/centro de pesquisa.</w:t>
      </w:r>
    </w:p>
    <w:p>
      <w:pPr>
        <w:numPr>
          <w:ilvl w:val="0"/>
          <w:numId w:val="1011"/>
        </w:numPr>
        <w:pStyle w:val="Compact"/>
      </w:pPr>
      <w:r>
        <w:t xml:space="preserve">☐ Revisão da versão em espanhol por falante nativo (termos como “recorte”, “ficha”, “plancha”).</w:t>
      </w:r>
    </w:p>
    <w:p>
      <w:pPr>
        <w:numPr>
          <w:ilvl w:val="0"/>
          <w:numId w:val="1011"/>
        </w:numPr>
        <w:pStyle w:val="Compact"/>
      </w:pPr>
      <w:r>
        <w:t xml:space="preserve">☐ Depositar a base no Zenodo (ou repositório institucional) para obter um DOI e atualizar a citação em</w:t>
      </w:r>
      <w:r>
        <w:t xml:space="preserve"> </w:t>
      </w:r>
      <w:r>
        <w:rPr>
          <w:rStyle w:val="VerbatimChar"/>
        </w:rPr>
        <w:t xml:space="preserve">LICENCAS.md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Unificar nomes de organizações duplicados</w:t>
      </w:r>
      <w:r>
        <w:t xml:space="preserve"> </w:t>
      </w:r>
      <w:r>
        <w:t xml:space="preserve">(ex.: grafias diferentes de CTA e CGT). Afeta contagens, fichas e redes.</w:t>
      </w:r>
    </w:p>
    <w:p>
      <w:pPr>
        <w:numPr>
          <w:ilvl w:val="0"/>
          <w:numId w:val="1011"/>
        </w:numPr>
        <w:pStyle w:val="Compact"/>
      </w:pPr>
      <w:r>
        <w:t xml:space="preserve">☐ Resultado do</w:t>
      </w:r>
      <w:r>
        <w:t xml:space="preserve"> </w:t>
      </w:r>
      <w:r>
        <w:rPr>
          <w:bCs/>
          <w:b/>
        </w:rPr>
        <w:t xml:space="preserve">2º turno de 2023</w:t>
      </w:r>
      <w:r>
        <w:t xml:space="preserve"> </w:t>
      </w:r>
      <w:r>
        <w:t xml:space="preserve">por departamento, se a DINE publicar no formato mesa a mesa.</w:t>
      </w:r>
    </w:p>
    <w:p>
      <w:pPr>
        <w:numPr>
          <w:ilvl w:val="0"/>
          <w:numId w:val="1011"/>
        </w:numPr>
        <w:pStyle w:val="Compact"/>
      </w:pPr>
      <w:r>
        <w:t xml:space="preserve">☐ Outras fontes sugeridas e ainda não coletadas: estudantes de universidades nacionais por província, emprego público por província, titulares do Potenciar Trabajo, projetos de mineração e comunidades indígenas registradas.</w:t>
      </w:r>
    </w:p>
    <w:p>
      <w:pPr>
        <w:numPr>
          <w:ilvl w:val="0"/>
          <w:numId w:val="1011"/>
        </w:numPr>
        <w:pStyle w:val="Compact"/>
      </w:pPr>
      <w:r>
        <w:t xml:space="preserve">☐ Atualizar o ReNaTEP e o RENABAP quando houver versões oficiais mais recentes.</w:t>
      </w:r>
    </w:p>
    <w:p>
      <w:pPr>
        <w:numPr>
          <w:ilvl w:val="0"/>
          <w:numId w:val="1011"/>
        </w:numPr>
        <w:pStyle w:val="Compact"/>
      </w:pPr>
      <w:r>
        <w:t xml:space="preserve">☐ Revisar a codificação de casos em que organizações da economia popular aparecem também como “movimientos sindicales”.</w:t>
      </w:r>
    </w:p>
    <w:bookmarkEnd w:id="48"/>
    <w:bookmarkEnd w:id="49"/>
    <w:sectPr>
      <w:footerReference w:type="default" r:id="rId9"/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7C8AA0"/>
        <w:sz w:val="16"/>
      </w:rPr>
      <w:t>DATALUTA Argentina 2024 · Processo de construção da base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cs="Calibri" w:eastAsia="Calibri" w:hAnsi="Calibri"/>
      <w:sz w:val="21"/>
    </w:rPr>
  </w:style>
  <w:style w:styleId="BodyText" w:type="paragraph">
    <w:name w:val="Body Text"/>
    <w:basedOn w:val="Normal"/>
    <w:link w:val="BodyTextChar"/>
    <w:pPr>
      <w:spacing w:after="100" w:before="180"/>
    </w:pPr>
    <w:qFormat/>
    <w:rPr>
      <w:rFonts w:ascii="Calibri" w:cs="Calibri" w:eastAsia="Calibri" w:hAnsi="Calibri"/>
    </w:rPr>
  </w:style>
  <w:style w:customStyle="1" w:styleId="FirstParagraph" w:type="paragraph">
    <w:name w:val="First Paragraph"/>
    <w:basedOn w:val="BodyText"/>
    <w:next w:val="BodyText"/>
    <w:qFormat/>
    <w:pPr>
      <w:spacing w:after="100"/>
    </w:pPr>
    <w:rPr>
      <w:rFonts w:ascii="Calibri" w:cs="Calibri" w:eastAsia="Calibri" w:hAnsi="Calibri"/>
    </w:rPr>
  </w:style>
  <w:style w:customStyle="1" w:styleId="Compact" w:type="paragraph">
    <w:name w:val="Compact"/>
    <w:basedOn w:val="BodyText"/>
    <w:qFormat/>
    <w:pPr>
      <w:spacing w:after="100" w:before="36"/>
    </w:pPr>
    <w:rPr>
      <w:rFonts w:ascii="Calibri" w:cs="Calibri" w:eastAsia="Calibri" w:hAnsi="Calibri"/>
    </w:rPr>
  </w:style>
  <w:style w:styleId="Title" w:type="paragraph">
    <w:name w:val="Title"/>
    <w:basedOn w:val="Normal"/>
    <w:next w:val="BodyText"/>
    <w:qFormat/>
    <w:pPr>
      <w:keepNext/>
      <w:keepLines/>
      <w:spacing w:after="80" w:before="200"/>
      <w:jc w:val="center"/>
    </w:pPr>
    <w:rPr>
      <w:rFonts w:ascii="Calibri" w:asciiTheme="majorHAnsi" w:cs="Calibri" w:cstheme="majorBidi" w:eastAsia="Calibri" w:eastAsiaTheme="majorEastAsia" w:hAnsi="Calibri" w:hAnsiTheme="majorHAnsi"/>
      <w:b/>
      <w:bCs/>
      <w:color w:val="13294B"/>
      <w:sz w:val="4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Calibri" w:cs="Calibri" w:eastAsia="Calibri" w:hAnsi="Calibri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Calibri" w:cs="Calibri" w:eastAsia="Calibri" w:hAnsi="Calibri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Calibri" w:cs="Calibri" w:eastAsia="Calibri" w:hAnsi="Calibri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Calibri" w:cs="Calibri" w:eastAsia="Calibri" w:hAnsi="Calibri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Calibri" w:cs="Calibri" w:eastAsia="Calibri" w:hAnsi="Calibri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Calibri" w:cs="Calibri" w:eastAsia="Calibri" w:hAnsi="Calibri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80" w:before="280"/>
      <w:outlineLvl w:val="0"/>
    </w:pPr>
    <w:rPr>
      <w:rFonts w:ascii="Calibri" w:asciiTheme="majorHAnsi" w:cs="Calibri" w:cstheme="majorBidi" w:eastAsia="Calibri" w:eastAsiaTheme="majorEastAsia" w:hAnsi="Calibri" w:hAnsiTheme="majorHAnsi"/>
      <w:b/>
      <w:bCs/>
      <w:color w:val="13294B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80" w:before="200"/>
      <w:outlineLvl w:val="1"/>
    </w:pPr>
    <w:rPr>
      <w:rFonts w:ascii="Calibri" w:asciiTheme="majorHAnsi" w:cs="Calibri" w:cstheme="majorBidi" w:eastAsia="Calibri" w:eastAsiaTheme="majorEastAsia" w:hAnsi="Calibri" w:hAnsiTheme="majorHAnsi"/>
      <w:b/>
      <w:bCs/>
      <w:color w:val="2569AD"/>
      <w:sz w:val="26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80" w:before="200"/>
      <w:outlineLvl w:val="2"/>
    </w:pPr>
    <w:rPr>
      <w:rFonts w:ascii="Calibri" w:asciiTheme="majorHAnsi" w:cs="Calibri" w:cstheme="majorBidi" w:eastAsia="Calibri" w:eastAsiaTheme="majorEastAsia" w:hAnsi="Calibri" w:hAnsiTheme="majorHAnsi"/>
      <w:b/>
      <w:bCs/>
      <w:color w:val="C45A00"/>
      <w:sz w:val="23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Calibri" w:asciiTheme="majorHAnsi" w:cs="Calibri" w:cstheme="majorBidi" w:eastAsia="Calibri" w:eastAsiaTheme="majorEastAsia" w:hAnsi="Calibri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Calibri" w:asciiTheme="majorHAnsi" w:cs="Calibri" w:cstheme="majorBidi" w:eastAsia="Calibri" w:eastAsiaTheme="majorEastAsia" w:hAnsi="Calibri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Calibri" w:asciiTheme="majorHAnsi" w:cs="Calibri" w:cstheme="majorBidi" w:eastAsia="Calibri" w:eastAsiaTheme="majorEastAsia" w:hAnsi="Calibri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Calibri" w:asciiTheme="majorHAnsi" w:cs="Calibri" w:cstheme="majorBidi" w:eastAsia="Calibri" w:eastAsiaTheme="majorEastAsia" w:hAnsi="Calibri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Calibri" w:asciiTheme="majorHAnsi" w:cs="Calibri" w:cstheme="majorBidi" w:eastAsia="Calibri" w:eastAsiaTheme="majorEastAsia" w:hAnsi="Calibri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Calibri" w:asciiTheme="majorHAnsi" w:cs="Calibri" w:cstheme="majorBidi" w:eastAsia="Calibri" w:eastAsiaTheme="majorEastAsia" w:hAnsi="Calibri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cs="Calibri" w:eastAsia="Calibri" w:hAnsi="Calibri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Calibri" w:cs="Calibri" w:eastAsia="Calibri" w:hAnsi="Calibri"/>
    </w:rPr>
  </w:style>
  <w:style w:default="1" w:styleId="DefaultParagraphFont" w:type="character">
    <w:name w:val="Default Paragraph Font"/>
    <w:semiHidden/>
    <w:unhideWhenUsed/>
    <w:rPr>
      <w:rFonts w:ascii="Calibri" w:cs="Calibri" w:eastAsia="Calibri" w:hAnsi="Calibri"/>
    </w:rPr>
  </w:style>
  <w:style w:default="1" w:styleId="Table" w:type="table">
    <w:name w:val="Table"/>
    <w:basedOn w:val="TableNormal"/>
    <w:semiHidden/>
    <w:unhideWhenUsed/>
    <w:qFormat/>
    <w:rPr>
      <w:rFonts w:ascii="Calibri" w:cs="Calibri" w:eastAsia="Calibri" w:hAnsi="Calibri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Calibri" w:cs="Calibri" w:eastAsia="Calibri" w:hAnsi="Calibri"/>
      <w:b/>
    </w:rPr>
  </w:style>
  <w:style w:customStyle="1" w:styleId="Definition" w:type="paragraph">
    <w:name w:val="Definition"/>
    <w:basedOn w:val="Normal"/>
    <w:rPr>
      <w:rFonts w:ascii="Calibri" w:cs="Calibri" w:eastAsia="Calibri" w:hAnsi="Calibri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Calibri" w:cs="Calibri" w:eastAsia="Calibri" w:hAnsi="Calibri"/>
      <w:i/>
    </w:rPr>
  </w:style>
  <w:style w:customStyle="1" w:styleId="TableCaption" w:type="paragraph">
    <w:name w:val="Table Caption"/>
    <w:basedOn w:val="Caption"/>
    <w:pPr>
      <w:keepNext/>
    </w:pPr>
    <w:rPr>
      <w:rFonts w:ascii="Calibri" w:cs="Calibri" w:eastAsia="Calibri" w:hAnsi="Calibri"/>
    </w:rPr>
  </w:style>
  <w:style w:customStyle="1" w:styleId="ImageCaption" w:type="paragraph">
    <w:name w:val="Image Caption"/>
    <w:basedOn w:val="Caption"/>
    <w:rPr>
      <w:rFonts w:ascii="Calibri" w:cs="Calibri" w:eastAsia="Calibri" w:hAnsi="Calibri"/>
    </w:rPr>
  </w:style>
  <w:style w:customStyle="1" w:styleId="Figure" w:type="paragraph">
    <w:name w:val="Figure"/>
    <w:basedOn w:val="Normal"/>
    <w:rPr>
      <w:rFonts w:ascii="Calibri" w:cs="Calibri" w:eastAsia="Calibri" w:hAnsi="Calibri"/>
    </w:rPr>
  </w:style>
  <w:style w:customStyle="1" w:styleId="CaptionedFigure" w:type="paragraph">
    <w:name w:val="Captioned Figure"/>
    <w:basedOn w:val="Figure"/>
    <w:pPr>
      <w:keepNext/>
    </w:pPr>
    <w:rPr>
      <w:rFonts w:ascii="Calibri" w:cs="Calibri" w:eastAsia="Calibri" w:hAnsi="Calibri"/>
    </w:rPr>
  </w:style>
  <w:style w:customStyle="1" w:styleId="BodyTextChar" w:type="character">
    <w:name w:val="Body Text Char"/>
    <w:basedOn w:val="DefaultParagraphFont"/>
    <w:link w:val="BodyText"/>
    <w:rPr>
      <w:rFonts w:ascii="Calibri" w:cs="Calibri" w:eastAsia="Calibri" w:hAnsi="Calibri"/>
    </w:rPr>
  </w:style>
  <w:style w:customStyle="1" w:styleId="VerbatimChar" w:type="character">
    <w:name w:val="Verbatim Char"/>
    <w:basedOn w:val="BodyTextChar"/>
    <w:rPr>
      <w:rFonts w:ascii="Consolas" w:cs="Calibri" w:eastAsia="Calibri" w:hAnsi="Consolas"/>
      <w:sz w:val="17"/>
    </w:rPr>
  </w:style>
  <w:style w:customStyle="1" w:styleId="SectionNumber" w:type="character">
    <w:name w:val="Section Number"/>
    <w:basedOn w:val="BodyTextChar"/>
    <w:rPr>
      <w:rFonts w:ascii="Calibri" w:cs="Calibri" w:eastAsia="Calibri" w:hAnsi="Calibri"/>
    </w:rPr>
  </w:style>
  <w:style w:styleId="FootnoteReference" w:type="character">
    <w:name w:val="Footnote Reference"/>
    <w:basedOn w:val="BodyTextChar"/>
    <w:rPr>
      <w:rFonts w:ascii="Calibri" w:cs="Calibri" w:eastAsia="Calibri" w:hAnsi="Calibri"/>
      <w:vertAlign w:val="superscript"/>
    </w:rPr>
  </w:style>
  <w:style w:styleId="Hyperlink" w:type="character">
    <w:name w:val="Hyperlink"/>
    <w:basedOn w:val="BodyTextChar"/>
    <w:rPr>
      <w:rFonts w:ascii="Calibri" w:cs="Calibri" w:eastAsia="Calibri" w:hAnsi="Calibri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asciiTheme="majorHAnsi" w:cs="Calibri" w:cstheme="majorBidi" w:eastAsia="Calibri" w:eastAsiaTheme="majorEastAsia" w:hAnsi="Calibri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3" Type="http://schemas.openxmlformats.org/officeDocument/2006/relationships/hyperlink" Target="LICENCAS.md" TargetMode="External"/><Relationship Id="rId22" Type="http://schemas.openxmlformats.org/officeDocument/2006/relationships/hyperlink" Target="PROCESSO.docx" TargetMode="External"/><Relationship Id="rId30" Type="http://schemas.openxmlformats.org/officeDocument/2006/relationships/hyperlink" Target="https://github.com/mgaitan/departamentos_argentina" TargetMode="External"/><Relationship Id="rId21" Type="http://schemas.openxmlformats.org/officeDocument/2006/relationships/hyperlink" Target="https://github.com/wiliansventura98-collab/site-acoes" TargetMode="External"/><Relationship Id="rId20" Type="http://schemas.openxmlformats.org/officeDocument/2006/relationships/hyperlink" Target="https://wiliansventura98-collab.github.io/site-acoes/" TargetMode="External"/><Relationship Id="rId26" Type="http://schemas.openxmlformats.org/officeDocument/2006/relationships/hyperlink" Target="pipeline/reconstruir.sh" TargetMode="External"/><Relationship Id="rId32" Type="http://schemas.openxmlformats.org/officeDocument/2006/relationships/hyperlink" Target="pipeline/referencias/contexto/FONTES.md" TargetMode="External"/><Relationship Id="rId9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LICENCAS.md" TargetMode="External"/><Relationship Id="rId22" Type="http://schemas.openxmlformats.org/officeDocument/2006/relationships/hyperlink" Target="PROCESSO.docx" TargetMode="External"/><Relationship Id="rId30" Type="http://schemas.openxmlformats.org/officeDocument/2006/relationships/hyperlink" Target="https://github.com/mgaitan/departamentos_argentina" TargetMode="External"/><Relationship Id="rId21" Type="http://schemas.openxmlformats.org/officeDocument/2006/relationships/hyperlink" Target="https://github.com/wiliansventura98-collab/site-acoes" TargetMode="External"/><Relationship Id="rId20" Type="http://schemas.openxmlformats.org/officeDocument/2006/relationships/hyperlink" Target="https://wiliansventura98-collab.github.io/site-acoes/" TargetMode="External"/><Relationship Id="rId26" Type="http://schemas.openxmlformats.org/officeDocument/2006/relationships/hyperlink" Target="pipeline/reconstruir.sh" TargetMode="External"/><Relationship Id="rId32" Type="http://schemas.openxmlformats.org/officeDocument/2006/relationships/hyperlink" Target="pipeline/referencias/contexto/FONTES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pt-BR</dc:language>
  <cp:keywords/>
  <dcterms:created xsi:type="dcterms:W3CDTF">2026-10-30T05:35:09Z</dcterms:created>
  <dcterms:modified xsi:type="dcterms:W3CDTF">2026-10-30T05:35:09Z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