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- Movimentos Socioespaciais e Socioterritoriais Urbanos Argentinos (2024)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2.1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o contador mostra o mês e o número de ações. Na página inicial, a partir de 760 px de largura, o mapa ocupa todo o cabeçalho, inclusive atrás da navegação: a altura do mapa acompanha a do cabeçalho (a Argentina vai de logo abaixo do menu até o pé) e o quadro é deslocado para a Argentina começar logo depois do texto, com o Pacífico atrás do título e o Atlântico à direita. No celular, o recorte da Argentina vai de uma borda à outra, abaixo do texto, sobre o mesmo fundo celeste. Na base interativa, o mapa fica numa moldura ao lado do título.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no cabeçalho inteiro</w:t>
      </w:r>
      <w:r>
        <w:t xml:space="preserve"> </w:t>
      </w:r>
      <w:r>
        <w:t xml:space="preserve">da página inicial (telas a partir de 1200 px), com grade de meridianos e paralelos no mar, e</w:t>
      </w:r>
      <w:r>
        <w:t xml:space="preserve"> </w:t>
      </w:r>
      <w:r>
        <w:rPr>
          <w:bCs/>
          <w:b/>
        </w:rPr>
        <w:t xml:space="preserve">sem o gráfico de semanas</w:t>
      </w:r>
      <w:r>
        <w:t xml:space="preserve"> </w:t>
      </w:r>
      <w:r>
        <w:t xml:space="preserve">embaixo do mapa (na página inicial e na base). Contagem de localidades do mapa passou a usar os nomes das localidades (123), e não as coordenadas arredondadas. Motivo: pedido do responsável.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cobrindo o cabeçalho inteiro em qualquer tela</w:t>
      </w:r>
      <w:r>
        <w:t xml:space="preserve"> </w:t>
      </w:r>
      <w:r>
        <w:t xml:space="preserve">(a versão anterior só fazia isso a partir de 1200 px e deixava o menu sobre fundo branco): menu dentro do cabeçalho, sobre o mapa, com fundo branco translúcido; enquadramento calculado no navegador a partir do tamanho do cabeçalho e do texto. Motivo: o responsável avaliou que o mapa não ocupava todo o cabeçalho.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Nome oficial da base</w:t>
      </w:r>
      <w:r>
        <w:t xml:space="preserve"> </w:t>
      </w:r>
      <w:r>
        <w:t xml:space="preserve">passa a ser “Banco de Dados das Lutas por Espaços e Territórios (DATALUTA) - Movimentos Socioespaciais e Socioterritoriais Urbanos Argentinos (2024)” (em espanhol, “Banco de Datos de las Luchas por Espacios y Territorios (DATALUTA) - Movimientos Socioespaciales y Socioterritoriales Urbanos Argentinos (2024)”), na página inicial, na base, na página Sobre, nas citações (README,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Sobre), neste documento e no rodapé da versão em Word. Título da página inicial: “Ações no espaço urbano argentino em 2024”. Bandeira do mapa da abertura reposicionada para o Atlântico aberto, a leste da Patagônia. Motivo: pedido do responsável.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Linha com o nome da base</w:t>
      </w:r>
      <w:r>
        <w:t xml:space="preserve"> </w:t>
      </w:r>
      <w:r>
        <w:t xml:space="preserve">(acima do título, na página inicial e na Sobre) e rótulos da Síntese e das leituras passam do laranja-amarronzado para o azul da paleta (#1d5994 e #2569ad). O laranja segue só nos gráficos e mapas, onde indica “acima do esperado”. Motivo: pedido do responsável, para combinar com a paleta.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· Movimentos Socioespaciais e Socioterritoriais Urbanos Argentinos (2024)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2026-10-30T14:19:31Z</dcterms:created>
  <dcterms:modified xsi:type="dcterms:W3CDTF">2026-10-30T14:19:31Z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