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72"/>
          <w:szCs w:val="72"/>
        </w:rPr>
        <w:t xml:space="preserve">JusControl</w:t>
      </w:r>
    </w:p>
    <w:p>
      <w:pPr>
        <w:spacing w:after="1200"/>
        <w:jc w:val="center"/>
      </w:pPr>
      <w:r>
        <w:rPr>
          <w:color w:val="555555"/>
          <w:sz w:val="32"/>
          <w:szCs w:val="32"/>
        </w:rPr>
        <w:t xml:space="preserve">Sistema de Gestão para Escritórios de Advocacia</w:t>
      </w:r>
    </w:p>
    <w:p>
      <w:pPr>
        <w:spacing w:after="3000"/>
        <w:jc w:val="center"/>
      </w:pPr>
      <w:r>
        <w:rPr>
          <w:b/>
          <w:bCs/>
          <w:sz w:val="44"/>
          <w:szCs w:val="44"/>
        </w:rPr>
        <w:t xml:space="preserve">Manual do Usuário</w:t>
      </w:r>
    </w:p>
    <w:p>
      <w:pPr>
        <w:pStyle w:val="Heading1"/>
        <w:pageBreakBefore/>
      </w:pPr>
      <w:r>
        <w:t xml:space="preserve">Sumário</w:t>
      </w:r>
    </w:p>
    <w:p>
      <w:pPr>
        <w:spacing w:after="260"/>
      </w:pPr>
      <w:r>
        <w:rPr>
          <w:i/>
          <w:iCs/>
          <w:color w:val="666666"/>
        </w:rPr>
        <w:t xml:space="preserve">Clique em qualquer item para ir direto à seção.</w:t>
      </w:r>
    </w:p>
    <w:p>
      <w:pPr>
        <w:spacing w:after="140"/>
        <w:ind w:left="0"/>
      </w:pPr>
      <w:hyperlink w:history="1" w:anchor="bm1">
        <w:r>
          <w:rPr>
            <w:b/>
            <w:bCs/>
            <w:color w:val="1F4E79"/>
            <w:u w:val="single"/>
          </w:rPr>
          <w:t xml:space="preserve">1. Introdução</w:t>
        </w:r>
      </w:hyperlink>
    </w:p>
    <w:p>
      <w:pPr>
        <w:spacing w:after="80"/>
        <w:ind w:left="360"/>
      </w:pPr>
      <w:hyperlink w:history="1" w:anchor="bm2">
        <w:r>
          <w:rPr>
            <w:b w:val="false"/>
            <w:bCs w:val="false"/>
            <w:color w:val="1F4E79"/>
            <w:u w:val="single"/>
          </w:rPr>
          <w:t xml:space="preserve">1.1 Sobre o sistema</w:t>
        </w:r>
      </w:hyperlink>
    </w:p>
    <w:p>
      <w:pPr>
        <w:spacing w:after="80"/>
        <w:ind w:left="360"/>
      </w:pPr>
      <w:hyperlink w:history="1" w:anchor="bm3">
        <w:r>
          <w:rPr>
            <w:b w:val="false"/>
            <w:bCs w:val="false"/>
            <w:color w:val="1F4E79"/>
            <w:u w:val="single"/>
          </w:rPr>
          <w:t xml:space="preserve">1.2 Perfis de usuário</w:t>
        </w:r>
      </w:hyperlink>
    </w:p>
    <w:p>
      <w:pPr>
        <w:spacing w:after="80"/>
        <w:ind w:left="360"/>
      </w:pPr>
      <w:hyperlink w:history="1" w:anchor="bm4">
        <w:r>
          <w:rPr>
            <w:b w:val="false"/>
            <w:bCs w:val="false"/>
            <w:color w:val="1F4E79"/>
            <w:u w:val="single"/>
          </w:rPr>
          <w:t xml:space="preserve">1.3 Módulos contratados</w:t>
        </w:r>
      </w:hyperlink>
    </w:p>
    <w:p>
      <w:pPr>
        <w:spacing w:after="80"/>
        <w:ind w:left="360"/>
      </w:pPr>
      <w:hyperlink w:history="1" w:anchor="bm5">
        <w:r>
          <w:rPr>
            <w:b w:val="false"/>
            <w:bCs w:val="false"/>
            <w:color w:val="1F4E79"/>
            <w:u w:val="single"/>
          </w:rPr>
          <w:t xml:space="preserve">1.4 Como o menu está organizado</w:t>
        </w:r>
      </w:hyperlink>
    </w:p>
    <w:p>
      <w:pPr>
        <w:spacing w:after="140"/>
        <w:ind w:left="0"/>
      </w:pPr>
      <w:hyperlink w:history="1" w:anchor="bm6">
        <w:r>
          <w:rPr>
            <w:b/>
            <w:bCs/>
            <w:color w:val="1F4E79"/>
            <w:u w:val="single"/>
          </w:rPr>
          <w:t xml:space="preserve">2. Primeiros passos: login e segurança</w:t>
        </w:r>
      </w:hyperlink>
    </w:p>
    <w:p>
      <w:pPr>
        <w:spacing w:after="80"/>
        <w:ind w:left="360"/>
      </w:pPr>
      <w:hyperlink w:history="1" w:anchor="bm7">
        <w:r>
          <w:rPr>
            <w:b w:val="false"/>
            <w:bCs w:val="false"/>
            <w:color w:val="1F4E79"/>
            <w:u w:val="single"/>
          </w:rPr>
          <w:t xml:space="preserve">2.1 Fazer login</w:t>
        </w:r>
      </w:hyperlink>
    </w:p>
    <w:p>
      <w:pPr>
        <w:spacing w:after="80"/>
        <w:ind w:left="360"/>
      </w:pPr>
      <w:hyperlink w:history="1" w:anchor="bm8">
        <w:r>
          <w:rPr>
            <w:b w:val="false"/>
            <w:bCs w:val="false"/>
            <w:color w:val="1F4E79"/>
            <w:u w:val="single"/>
          </w:rPr>
          <w:t xml:space="preserve">2.2 Autenticador de dois fatores (obrigatório)</w:t>
        </w:r>
      </w:hyperlink>
    </w:p>
    <w:p>
      <w:pPr>
        <w:spacing w:after="80"/>
        <w:ind w:left="360"/>
      </w:pPr>
      <w:hyperlink w:history="1" w:anchor="bm12">
        <w:r>
          <w:rPr>
            <w:b w:val="false"/>
            <w:bCs w:val="false"/>
            <w:color w:val="1F4E79"/>
            <w:u w:val="single"/>
          </w:rPr>
          <w:t xml:space="preserve">2.3 Esqueci minha senha</w:t>
        </w:r>
      </w:hyperlink>
    </w:p>
    <w:p>
      <w:pPr>
        <w:spacing w:after="80"/>
        <w:ind w:left="360"/>
      </w:pPr>
      <w:hyperlink w:history="1" w:anchor="bm13">
        <w:r>
          <w:rPr>
            <w:b w:val="false"/>
            <w:bCs w:val="false"/>
            <w:color w:val="1F4E79"/>
            <w:u w:val="single"/>
          </w:rPr>
          <w:t xml:space="preserve">2.4 Minhas preferências</w:t>
        </w:r>
      </w:hyperlink>
    </w:p>
    <w:p>
      <w:pPr>
        <w:spacing w:after="140"/>
        <w:ind w:left="0"/>
      </w:pPr>
      <w:hyperlink w:history="1" w:anchor="bm14">
        <w:r>
          <w:rPr>
            <w:b/>
            <w:bCs/>
            <w:color w:val="1F4E79"/>
            <w:u w:val="single"/>
          </w:rPr>
          <w:t xml:space="preserve">3. Operação</w:t>
        </w:r>
      </w:hyperlink>
    </w:p>
    <w:p>
      <w:pPr>
        <w:spacing w:after="80"/>
        <w:ind w:left="360"/>
      </w:pPr>
      <w:hyperlink w:history="1" w:anchor="bm15">
        <w:r>
          <w:rPr>
            <w:b w:val="false"/>
            <w:bCs w:val="false"/>
            <w:color w:val="1F4E79"/>
            <w:u w:val="single"/>
          </w:rPr>
          <w:t xml:space="preserve">3.1 Painel inicial</w:t>
        </w:r>
      </w:hyperlink>
    </w:p>
    <w:p>
      <w:pPr>
        <w:spacing w:after="80"/>
        <w:ind w:left="360"/>
      </w:pPr>
      <w:hyperlink w:history="1" w:anchor="bm16">
        <w:r>
          <w:rPr>
            <w:b w:val="false"/>
            <w:bCs w:val="false"/>
            <w:color w:val="1F4E79"/>
            <w:u w:val="single"/>
          </w:rPr>
          <w:t xml:space="preserve">3.2 Clientes</w:t>
        </w:r>
      </w:hyperlink>
    </w:p>
    <w:p>
      <w:pPr>
        <w:spacing w:after="80"/>
        <w:ind w:left="360"/>
      </w:pPr>
      <w:hyperlink w:history="1" w:anchor="bm20">
        <w:r>
          <w:rPr>
            <w:b w:val="false"/>
            <w:bCs w:val="false"/>
            <w:color w:val="1F4E79"/>
            <w:u w:val="single"/>
          </w:rPr>
          <w:t xml:space="preserve">3.3 Processos</w:t>
        </w:r>
      </w:hyperlink>
    </w:p>
    <w:p>
      <w:pPr>
        <w:spacing w:after="80"/>
        <w:ind w:left="360"/>
      </w:pPr>
      <w:hyperlink w:history="1" w:anchor="bm35">
        <w:r>
          <w:rPr>
            <w:b w:val="false"/>
            <w:bCs w:val="false"/>
            <w:color w:val="1F4E79"/>
            <w:u w:val="single"/>
          </w:rPr>
          <w:t xml:space="preserve">3.4 Agenda</w:t>
        </w:r>
      </w:hyperlink>
    </w:p>
    <w:p>
      <w:pPr>
        <w:spacing w:after="80"/>
        <w:ind w:left="360"/>
      </w:pPr>
      <w:hyperlink w:history="1" w:anchor="bm37">
        <w:r>
          <w:rPr>
            <w:b w:val="false"/>
            <w:bCs w:val="false"/>
            <w:color w:val="1F4E79"/>
            <w:u w:val="single"/>
          </w:rPr>
          <w:t xml:space="preserve">3.5 Tarefas</w:t>
        </w:r>
      </w:hyperlink>
    </w:p>
    <w:p>
      <w:pPr>
        <w:spacing w:after="80"/>
        <w:ind w:left="360"/>
      </w:pPr>
      <w:hyperlink w:history="1" w:anchor="bm39">
        <w:r>
          <w:rPr>
            <w:b w:val="false"/>
            <w:bCs w:val="false"/>
            <w:color w:val="1F4E79"/>
            <w:u w:val="single"/>
          </w:rPr>
          <w:t xml:space="preserve">3.6 Timesheet (registro de horas)</w:t>
        </w:r>
      </w:hyperlink>
    </w:p>
    <w:p>
      <w:pPr>
        <w:spacing w:after="80"/>
        <w:ind w:left="360"/>
      </w:pPr>
      <w:hyperlink w:history="1" w:anchor="bm41">
        <w:r>
          <w:rPr>
            <w:b w:val="false"/>
            <w:bCs w:val="false"/>
            <w:color w:val="1F4E79"/>
            <w:u w:val="single"/>
          </w:rPr>
          <w:t xml:space="preserve">3.7 Financeiro</w:t>
        </w:r>
      </w:hyperlink>
    </w:p>
    <w:p>
      <w:pPr>
        <w:spacing w:after="80"/>
        <w:ind w:left="360"/>
      </w:pPr>
      <w:hyperlink w:history="1" w:anchor="bm46">
        <w:r>
          <w:rPr>
            <w:b w:val="false"/>
            <w:bCs w:val="false"/>
            <w:color w:val="1F4E79"/>
            <w:u w:val="single"/>
          </w:rPr>
          <w:t xml:space="preserve">3.8 Captação de clientes (Leads)</w:t>
        </w:r>
      </w:hyperlink>
    </w:p>
    <w:p>
      <w:pPr>
        <w:spacing w:after="80"/>
        <w:ind w:left="360"/>
      </w:pPr>
      <w:hyperlink w:history="1" w:anchor="bm49">
        <w:r>
          <w:rPr>
            <w:b w:val="false"/>
            <w:bCs w:val="false"/>
            <w:color w:val="1F4E79"/>
            <w:u w:val="single"/>
          </w:rPr>
          <w:t xml:space="preserve">3.9 Agente de IA (chat)</w:t>
        </w:r>
      </w:hyperlink>
    </w:p>
    <w:p>
      <w:pPr>
        <w:spacing w:after="80"/>
        <w:ind w:left="360"/>
      </w:pPr>
      <w:hyperlink w:history="1" w:anchor="bm50">
        <w:r>
          <w:rPr>
            <w:b w:val="false"/>
            <w:bCs w:val="false"/>
            <w:color w:val="1F4E79"/>
            <w:u w:val="single"/>
          </w:rPr>
          <w:t xml:space="preserve">3.10 Meu agente local</w:t>
        </w:r>
      </w:hyperlink>
    </w:p>
    <w:p>
      <w:pPr>
        <w:spacing w:after="140"/>
        <w:ind w:left="0"/>
      </w:pPr>
      <w:hyperlink w:history="1" w:anchor="bm52">
        <w:r>
          <w:rPr>
            <w:b/>
            <w:bCs/>
            <w:color w:val="1F4E79"/>
            <w:u w:val="single"/>
          </w:rPr>
          <w:t xml:space="preserve">4. Governança de carteira</w:t>
        </w:r>
      </w:hyperlink>
    </w:p>
    <w:p>
      <w:pPr>
        <w:spacing w:after="80"/>
        <w:ind w:left="360"/>
      </w:pPr>
      <w:hyperlink w:history="1" w:anchor="bm53">
        <w:r>
          <w:rPr>
            <w:b w:val="false"/>
            <w:bCs w:val="false"/>
            <w:color w:val="1F4E79"/>
            <w:u w:val="single"/>
          </w:rPr>
          <w:t xml:space="preserve">4.1 Painel de governança</w:t>
        </w:r>
      </w:hyperlink>
    </w:p>
    <w:p>
      <w:pPr>
        <w:spacing w:after="80"/>
        <w:ind w:left="360"/>
      </w:pPr>
      <w:hyperlink w:history="1" w:anchor="bm54">
        <w:r>
          <w:rPr>
            <w:b w:val="false"/>
            <w:bCs w:val="false"/>
            <w:color w:val="1F4E79"/>
            <w:u w:val="single"/>
          </w:rPr>
          <w:t xml:space="preserve">4.2 Fila de intimações</w:t>
        </w:r>
      </w:hyperlink>
    </w:p>
    <w:p>
      <w:pPr>
        <w:spacing w:after="80"/>
        <w:ind w:left="360"/>
      </w:pPr>
      <w:hyperlink w:history="1" w:anchor="bm55">
        <w:r>
          <w:rPr>
            <w:b w:val="false"/>
            <w:bCs w:val="false"/>
            <w:color w:val="1F4E79"/>
            <w:u w:val="single"/>
          </w:rPr>
          <w:t xml:space="preserve">4.3 Métricas</w:t>
        </w:r>
      </w:hyperlink>
    </w:p>
    <w:p>
      <w:pPr>
        <w:spacing w:after="80"/>
        <w:ind w:left="360"/>
      </w:pPr>
      <w:hyperlink w:history="1" w:anchor="bm56">
        <w:r>
          <w:rPr>
            <w:b w:val="false"/>
            <w:bCs w:val="false"/>
            <w:color w:val="1F4E79"/>
            <w:u w:val="single"/>
          </w:rPr>
          <w:t xml:space="preserve">4.4 Produtividade por advogado</w:t>
        </w:r>
      </w:hyperlink>
    </w:p>
    <w:p>
      <w:pPr>
        <w:spacing w:after="80"/>
        <w:ind w:left="360"/>
      </w:pPr>
      <w:hyperlink w:history="1" w:anchor="bm57">
        <w:r>
          <w:rPr>
            <w:b w:val="false"/>
            <w:bCs w:val="false"/>
            <w:color w:val="1F4E79"/>
            <w:u w:val="single"/>
          </w:rPr>
          <w:t xml:space="preserve">4.5 Contingenciamento jurídico</w:t>
        </w:r>
      </w:hyperlink>
    </w:p>
    <w:p>
      <w:pPr>
        <w:spacing w:after="80"/>
        <w:ind w:left="360"/>
      </w:pPr>
      <w:hyperlink w:history="1" w:anchor="bm58">
        <w:r>
          <w:rPr>
            <w:b w:val="false"/>
            <w:bCs w:val="false"/>
            <w:color w:val="1F4E79"/>
            <w:u w:val="single"/>
          </w:rPr>
          <w:t xml:space="preserve">4.6 Cadastro de processo por número CNJ</w:t>
        </w:r>
      </w:hyperlink>
    </w:p>
    <w:p>
      <w:pPr>
        <w:spacing w:after="80"/>
        <w:ind w:left="360"/>
      </w:pPr>
      <w:hyperlink w:history="1" w:anchor="bm59">
        <w:r>
          <w:rPr>
            <w:b w:val="false"/>
            <w:bCs w:val="false"/>
            <w:color w:val="1F4E79"/>
            <w:u w:val="single"/>
          </w:rPr>
          <w:t xml:space="preserve">4.7 Importação em lote de processos</w:t>
        </w:r>
      </w:hyperlink>
    </w:p>
    <w:p>
      <w:pPr>
        <w:spacing w:after="80"/>
        <w:ind w:left="360"/>
      </w:pPr>
      <w:hyperlink w:history="1" w:anchor="bm60">
        <w:r>
          <w:rPr>
            <w:b w:val="false"/>
            <w:bCs w:val="false"/>
            <w:color w:val="1F4E79"/>
            <w:u w:val="single"/>
          </w:rPr>
          <w:t xml:space="preserve">4.8 Mapa de estado</w:t>
        </w:r>
      </w:hyperlink>
    </w:p>
    <w:p>
      <w:pPr>
        <w:spacing w:after="80"/>
        <w:ind w:left="360"/>
      </w:pPr>
      <w:hyperlink w:history="1" w:anchor="bm61">
        <w:r>
          <w:rPr>
            <w:b w:val="false"/>
            <w:bCs w:val="false"/>
            <w:color w:val="1F4E79"/>
            <w:u w:val="single"/>
          </w:rPr>
          <w:t xml:space="preserve">4.9 Verificação de conflitos</w:t>
        </w:r>
      </w:hyperlink>
    </w:p>
    <w:p>
      <w:pPr>
        <w:spacing w:after="80"/>
        <w:ind w:left="360"/>
      </w:pPr>
      <w:hyperlink w:history="1" w:anchor="bm62">
        <w:r>
          <w:rPr>
            <w:b w:val="false"/>
            <w:bCs w:val="false"/>
            <w:color w:val="1F4E79"/>
            <w:u w:val="single"/>
          </w:rPr>
          <w:t xml:space="preserve">4.10 Captação por OAB</w:t>
        </w:r>
      </w:hyperlink>
    </w:p>
    <w:p>
      <w:pPr>
        <w:spacing w:after="80"/>
        <w:ind w:left="360"/>
      </w:pPr>
      <w:hyperlink w:history="1" w:anchor="bm65">
        <w:r>
          <w:rPr>
            <w:b w:val="false"/>
            <w:bCs w:val="false"/>
            <w:color w:val="1F4E79"/>
            <w:u w:val="single"/>
          </w:rPr>
          <w:t xml:space="preserve">4.11 Relatório semanal e exportação de dados</w:t>
        </w:r>
      </w:hyperlink>
    </w:p>
    <w:p>
      <w:pPr>
        <w:spacing w:after="140"/>
        <w:ind w:left="0"/>
      </w:pPr>
      <w:hyperlink w:history="1" w:anchor="bm66">
        <w:r>
          <w:rPr>
            <w:b/>
            <w:bCs/>
            <w:color w:val="1F4E79"/>
            <w:u w:val="single"/>
          </w:rPr>
          <w:t xml:space="preserve">5. Configurações</w:t>
        </w:r>
      </w:hyperlink>
    </w:p>
    <w:p>
      <w:pPr>
        <w:spacing w:after="80"/>
        <w:ind w:left="360"/>
      </w:pPr>
      <w:hyperlink w:history="1" w:anchor="bm67">
        <w:r>
          <w:rPr>
            <w:b w:val="false"/>
            <w:bCs w:val="false"/>
            <w:color w:val="1F4E79"/>
            <w:u w:val="single"/>
          </w:rPr>
          <w:t xml:space="preserve">5.1 Minha conta</w:t>
        </w:r>
      </w:hyperlink>
    </w:p>
    <w:p>
      <w:pPr>
        <w:spacing w:after="80"/>
        <w:ind w:left="360"/>
      </w:pPr>
      <w:hyperlink w:history="1" w:anchor="bm68">
        <w:r>
          <w:rPr>
            <w:b w:val="false"/>
            <w:bCs w:val="false"/>
            <w:color w:val="1F4E79"/>
            <w:u w:val="single"/>
          </w:rPr>
          <w:t xml:space="preserve">5.2 Equipe</w:t>
        </w:r>
      </w:hyperlink>
    </w:p>
    <w:p>
      <w:pPr>
        <w:spacing w:after="80"/>
        <w:ind w:left="360"/>
      </w:pPr>
      <w:hyperlink w:history="1" w:anchor="bm72">
        <w:r>
          <w:rPr>
            <w:b w:val="false"/>
            <w:bCs w:val="false"/>
            <w:color w:val="1F4E79"/>
            <w:u w:val="single"/>
          </w:rPr>
          <w:t xml:space="preserve">5.3 Unidades</w:t>
        </w:r>
      </w:hyperlink>
    </w:p>
    <w:p>
      <w:pPr>
        <w:spacing w:after="80"/>
        <w:ind w:left="360"/>
      </w:pPr>
      <w:hyperlink w:history="1" w:anchor="bm73">
        <w:r>
          <w:rPr>
            <w:b w:val="false"/>
            <w:bCs w:val="false"/>
            <w:color w:val="1F4E79"/>
            <w:u w:val="single"/>
          </w:rPr>
          <w:t xml:space="preserve">5.4 Relatórios</w:t>
        </w:r>
      </w:hyperlink>
    </w:p>
    <w:p>
      <w:pPr>
        <w:spacing w:after="80"/>
        <w:ind w:left="360"/>
      </w:pPr>
      <w:hyperlink w:history="1" w:anchor="bm74">
        <w:r>
          <w:rPr>
            <w:b w:val="false"/>
            <w:bCs w:val="false"/>
            <w:color w:val="1F4E79"/>
            <w:u w:val="single"/>
          </w:rPr>
          <w:t xml:space="preserve">5.5 Auditoria</w:t>
        </w:r>
      </w:hyperlink>
    </w:p>
    <w:p>
      <w:pPr>
        <w:spacing w:after="80"/>
        <w:ind w:left="360"/>
      </w:pPr>
      <w:hyperlink w:history="1" w:anchor="bm75">
        <w:r>
          <w:rPr>
            <w:b w:val="false"/>
            <w:bCs w:val="false"/>
            <w:color w:val="1F4E79"/>
            <w:u w:val="single"/>
          </w:rPr>
          <w:t xml:space="preserve">5.6 Alçada de aprovação</w:t>
        </w:r>
      </w:hyperlink>
    </w:p>
    <w:p>
      <w:pPr>
        <w:spacing w:after="80"/>
        <w:ind w:left="360"/>
      </w:pPr>
      <w:hyperlink w:history="1" w:anchor="bm76">
        <w:r>
          <w:rPr>
            <w:b w:val="false"/>
            <w:bCs w:val="false"/>
            <w:color w:val="1F4E79"/>
            <w:u w:val="single"/>
          </w:rPr>
          <w:t xml:space="preserve">5.7 Minhas Integrações</w:t>
        </w:r>
      </w:hyperlink>
    </w:p>
    <w:p>
      <w:pPr>
        <w:spacing w:after="80"/>
        <w:ind w:left="360"/>
      </w:pPr>
      <w:hyperlink w:history="1" w:anchor="bm81">
        <w:r>
          <w:rPr>
            <w:b w:val="false"/>
            <w:bCs w:val="false"/>
            <w:color w:val="1F4E79"/>
            <w:u w:val="single"/>
          </w:rPr>
          <w:t xml:space="preserve">5.8 Minha licença</w:t>
        </w:r>
      </w:hyperlink>
    </w:p>
    <w:p>
      <w:pPr>
        <w:spacing w:after="140"/>
        <w:ind w:left="0"/>
      </w:pPr>
      <w:hyperlink w:history="1" w:anchor="bm83">
        <w:r>
          <w:rPr>
            <w:b/>
            <w:bCs/>
            <w:color w:val="1F4E79"/>
            <w:u w:val="single"/>
          </w:rPr>
          <w:t xml:space="preserve">6. Referência rápida: quem pode acessar cada área</w:t>
        </w:r>
      </w:hyperlink>
    </w:p>
    <w:p>
      <w:pPr>
        <w:pStyle w:val="Heading1"/>
        <w:pageBreakBefore/>
        <w:spacing w:after="240" w:before="0"/>
      </w:pPr>
      <w:bookmarkStart w:name="bm1" w:id="1"/>
      <w:r>
        <w:t xml:space="preserve">1. Introdução</w:t>
      </w:r>
      <w:bookmarkEnd w:id="1"/>
    </w:p>
    <w:p>
      <w:pPr>
        <w:pStyle w:val="Heading2"/>
        <w:spacing w:after="140" w:before="320"/>
      </w:pPr>
      <w:bookmarkStart w:name="bm2" w:id="1"/>
      <w:r>
        <w:t xml:space="preserve">1.1 Sobre o sistema</w:t>
      </w:r>
      <w:bookmarkEnd w:id="1"/>
    </w:p>
    <w:p>
      <w:pPr>
        <w:spacing w:after="140"/>
      </w:pPr>
      <w:r>
        <w:t xml:space="preserve">O JusControl é a plataforma de gestão do seu escritório de advocacia. Ele reúne, num só lugar, o controle de clientes e processos, prazos e audiências, documentos dos autos, financeiro e faturamento, agenda, tarefas da equipe, captação de novos clientes e recursos de inteligência artificial aplicados ao dia a dia jurídico. Este manual descreve, tela a tela, tudo o que o escritório usa no sistema.</w:t>
      </w:r>
    </w:p>
    <w:p>
      <w:pPr>
        <w:pStyle w:val="Heading2"/>
        <w:spacing w:after="140" w:before="320"/>
      </w:pPr>
      <w:bookmarkStart w:name="bm3" w:id="1"/>
      <w:r>
        <w:t xml:space="preserve">1.2 Perfis de usuário</w:t>
      </w:r>
      <w:bookmarkEnd w:id="1"/>
    </w:p>
    <w:p>
      <w:pPr>
        <w:spacing w:after="140"/>
      </w:pPr>
      <w:r>
        <w:t xml:space="preserve">Cada pessoa que usa o sistema tem um papel, definido pelo administrador do escritório. O papel determina o que a pessoa pode ver e fazer:</w:t>
      </w:r>
    </w:p>
    <w:p>
      <w:pPr>
        <w:pStyle w:val="ListParagraph"/>
        <w:numPr>
          <w:ilvl w:val="0"/>
          <w:numId w:val="1"/>
        </w:numPr>
        <w:spacing w:after="60"/>
      </w:pPr>
      <w:r>
        <w:t xml:space="preserve">Admin — acesso completo ao escritório: todas as unidades/filiais, configurações, equipe, financeiro, relatórios e integrações. Normalmente é o sócio responsável ou quem administra o sistema.</w:t>
      </w:r>
    </w:p>
    <w:p>
      <w:pPr>
        <w:pStyle w:val="ListParagraph"/>
        <w:numPr>
          <w:ilvl w:val="0"/>
          <w:numId w:val="1"/>
        </w:numPr>
        <w:spacing w:after="60"/>
      </w:pPr>
      <w:r>
        <w:t xml:space="preserve">Gestor — administra a própria unidade: equipe, financeiro da unidade e as demais telas operacionais.</w:t>
      </w:r>
    </w:p>
    <w:p>
      <w:pPr>
        <w:pStyle w:val="ListParagraph"/>
        <w:numPr>
          <w:ilvl w:val="0"/>
          <w:numId w:val="1"/>
        </w:numPr>
        <w:spacing w:after="60"/>
      </w:pPr>
      <w:r>
        <w:t xml:space="preserve">Advogado — cadastra e conduz clientes, processos, prazos, documentos e as demais atividades operacionais da própria unidade.</w:t>
      </w:r>
    </w:p>
    <w:p>
      <w:pPr>
        <w:pStyle w:val="ListParagraph"/>
        <w:numPr>
          <w:ilvl w:val="0"/>
          <w:numId w:val="1"/>
        </w:numPr>
        <w:spacing w:after="60"/>
      </w:pPr>
      <w:r>
        <w:t xml:space="preserve">Funcionário — uso operacional do dia a dia (por exemplo, secretaria ou estagiário), com as mesmas telas operacionais do advogado, dentro da própria unidade.</w:t>
      </w:r>
    </w:p>
    <w:p>
      <w:pPr>
        <w:spacing w:after="140"/>
      </w:pPr>
      <w:r>
        <w:t xml:space="preserve">Além do papel, o acesso ao módulo Financeiro pode ser concedido individualmente: um advogado ou funcionário que não seja admin/gestor só enxerga a aba Financeiro se um administrador marcar, no cadastro dele, a opção "Acesso a dados financeiros".</w:t>
      </w:r>
    </w:p>
    <w:p>
      <w:pPr>
        <w:spacing w:after="140"/>
      </w:pPr>
      <w:r>
        <w:t xml:space="preserve">Se o escritório tiver mais de uma unidade (filial), cada usuário normalmente só vê os dados da própria unidade; o administrador do escritório vê e filtra os dados de todas as unidades da empresa.</w:t>
      </w:r>
    </w:p>
    <w:p>
      <w:pPr>
        <w:pStyle w:val="Heading2"/>
        <w:spacing w:after="140" w:before="320"/>
      </w:pPr>
      <w:bookmarkStart w:name="bm4" w:id="1"/>
      <w:r>
        <w:t xml:space="preserve">1.3 Módulos contratados</w:t>
      </w:r>
      <w:bookmarkEnd w:id="1"/>
    </w:p>
    <w:p>
      <w:pPr>
        <w:spacing w:after="140"/>
      </w:pPr>
      <w:r>
        <w:t xml:space="preserve">Clientes e Processos vêm incluídos em qualquer plano. Outros conjuntos de funcionalidades — como Governança de carteira, Agente de IA, Financeiro e Timesheet — são módulos contratados à parte. Se algum item deste manual não aparecer no seu menu, o motivo mais comum é que o módulo correspondente ainda não foi contratado pelo escritório: veja o capítulo "Minha licença" para consultar e solicitar módulos, ou fale com o administrador da sua conta.</w:t>
      </w:r>
    </w:p>
    <w:p>
      <w:pPr>
        <w:pStyle w:val="Heading2"/>
        <w:spacing w:after="140" w:before="320"/>
      </w:pPr>
      <w:bookmarkStart w:name="bm5" w:id="1"/>
      <w:r>
        <w:t xml:space="preserve">1.4 Como o menu está organizado</w:t>
      </w:r>
      <w:bookmarkEnd w:id="1"/>
    </w:p>
    <w:p>
      <w:pPr>
        <w:spacing w:after="140"/>
      </w:pPr>
      <w:r>
        <w:t xml:space="preserve">O menu lateral do sistema é dividido em três grupos, que se repetem ao longo deste manual:</w:t>
      </w:r>
    </w:p>
    <w:p>
      <w:pPr>
        <w:pStyle w:val="ListParagraph"/>
        <w:numPr>
          <w:ilvl w:val="0"/>
          <w:numId w:val="1"/>
        </w:numPr>
        <w:spacing w:after="60"/>
      </w:pPr>
      <w:r>
        <w:t xml:space="preserve">Operação — o trabalho do dia a dia: Painel inicial, Clientes, Processos, Agenda, Tarefas, Timesheet, Financeiro, Captação (leads), Agente de IA e Meu agente local.</w:t>
      </w:r>
    </w:p>
    <w:p>
      <w:pPr>
        <w:pStyle w:val="ListParagraph"/>
        <w:numPr>
          <w:ilvl w:val="0"/>
          <w:numId w:val="1"/>
        </w:numPr>
        <w:spacing w:after="60"/>
      </w:pPr>
      <w:r>
        <w:t xml:space="preserve">Governança de carteira — visão consolidada e ferramentas de gestão da carteira inteira de processos (módulo opcional).</w:t>
      </w:r>
    </w:p>
    <w:p>
      <w:pPr>
        <w:pStyle w:val="ListParagraph"/>
        <w:numPr>
          <w:ilvl w:val="0"/>
          <w:numId w:val="1"/>
        </w:numPr>
        <w:spacing w:after="60"/>
      </w:pPr>
      <w:r>
        <w:t xml:space="preserve">Configurações — conta pessoal, equipe, unidades, relatórios administrativos, auditoria, alçada de aprovação, integrações e licença do escritório.</w:t>
      </w:r>
    </w:p>
    <w:p>
      <w:pPr>
        <w:spacing w:after="140"/>
      </w:pPr>
      <w:r>
        <w:t xml:space="preserve">Em "Minha conta &gt; Preferências" cada pessoa pode escolher qual desses três grupos já aparece aberto automaticamente ao entrar no sistema.</w:t>
      </w:r>
    </w:p>
    <w:p>
      <w:pPr>
        <w:pStyle w:val="Heading1"/>
        <w:pageBreakBefore/>
        <w:spacing w:after="240" w:before="0"/>
      </w:pPr>
      <w:bookmarkStart w:name="bm6" w:id="1"/>
      <w:r>
        <w:t xml:space="preserve">2. Primeiros passos: login e segurança</w:t>
      </w:r>
      <w:bookmarkEnd w:id="1"/>
    </w:p>
    <w:p>
      <w:pPr>
        <w:pStyle w:val="Heading2"/>
        <w:spacing w:after="140" w:before="320"/>
      </w:pPr>
      <w:bookmarkStart w:name="bm7" w:id="1"/>
      <w:r>
        <w:t xml:space="preserve">2.1 Fazer login</w:t>
      </w:r>
      <w:bookmarkEnd w:id="1"/>
    </w:p>
    <w:p>
      <w:pPr>
        <w:spacing w:after="140"/>
      </w:pPr>
      <w:r>
        <w:t xml:space="preserve">Na tela de login, informe o e-mail e a senha cadastrados. O campo "Manter conectado" evita pedir login novamente com tanta frequência nesse navegador. Abaixo do formulário há o link "Esqueceu a senha?", descrito na seção 2.3.</w:t>
      </w:r>
    </w:p>
    <w:p>
      <w:pPr>
        <w:pStyle w:val="Heading2"/>
        <w:spacing w:after="140" w:before="320"/>
      </w:pPr>
      <w:bookmarkStart w:name="bm8" w:id="1"/>
      <w:r>
        <w:t xml:space="preserve">2.2 Autenticador de dois fatores (obrigatório)</w:t>
      </w:r>
      <w:bookmarkEnd w:id="1"/>
    </w:p>
    <w:p>
      <w:pPr>
        <w:spacing w:after="140"/>
      </w:pPr>
      <w:r>
        <w:t xml:space="preserve">Por segurança, todo login exige, além da senha, um código de 6 dígitos gerado por um aplicativo autenticador no celular (Google Authenticator, Microsoft Authenticator, Authy ou similar).</w:t>
      </w:r>
    </w:p>
    <w:p>
      <w:pPr>
        <w:pStyle w:val="Heading3"/>
        <w:spacing w:after="100" w:before="220"/>
      </w:pPr>
      <w:bookmarkStart w:name="bm9" w:id="1"/>
      <w:r>
        <w:t xml:space="preserve">Primeira configuração</w:t>
      </w:r>
      <w:bookmarkEnd w:id="1"/>
    </w:p>
    <w:p>
      <w:pPr>
        <w:spacing w:after="140"/>
      </w:pPr>
      <w:r>
        <w:t xml:space="preserve">Ao entrar pela primeira vez sem ainda ter configurado o autenticador, você consegue logar normalmente com e-mail e senha, mas é automaticamente direcionado para a tela de configuração antes de acessar qualquer outra parte do sistema:</w:t>
      </w:r>
    </w:p>
    <w:p>
      <w:pPr>
        <w:spacing w:after="60"/>
        <w:ind w:left="360"/>
      </w:pPr>
      <w:r>
        <w:rPr>
          <w:b/>
          <w:bCs/>
        </w:rPr>
        <w:t xml:space="preserve">1. </w:t>
      </w:r>
      <w:r>
        <w:t xml:space="preserve">Abra um aplicativo autenticador no celular.</w:t>
      </w:r>
    </w:p>
    <w:p>
      <w:pPr>
        <w:spacing w:after="60"/>
        <w:ind w:left="360"/>
      </w:pPr>
      <w:r>
        <w:rPr>
          <w:b/>
          <w:bCs/>
        </w:rPr>
        <w:t xml:space="preserve">2. </w:t>
      </w:r>
      <w:r>
        <w:t xml:space="preserve">Escaneie o QR code exibido na tela (ou, se não conseguir escanear, digite manualmente o código mostrado em texto abaixo do QR).</w:t>
      </w:r>
    </w:p>
    <w:p>
      <w:pPr>
        <w:spacing w:after="60"/>
        <w:ind w:left="360"/>
      </w:pPr>
      <w:r>
        <w:rPr>
          <w:b/>
          <w:bCs/>
        </w:rPr>
        <w:t xml:space="preserve">3. </w:t>
      </w:r>
      <w:r>
        <w:t xml:space="preserve">Digite, no sistema, o código de 6 dígitos que o aplicativo gerou e clique em "Confirmar e ativar".</w:t>
      </w:r>
    </w:p>
    <w:p>
      <w:pPr>
        <w:spacing w:after="140"/>
      </w:pPr>
      <w:r>
        <w:t xml:space="preserve">A partir daí, todo login vai pedir esse código. Se o código for recusado, confira se digitou os 6 dígitos mais recentes (eles mudam a cada 30 segundos).</w:t>
      </w:r>
    </w:p>
    <w:p>
      <w:pPr>
        <w:pStyle w:val="Heading3"/>
        <w:spacing w:after="100" w:before="220"/>
      </w:pPr>
      <w:bookmarkStart w:name="bm10" w:id="1"/>
      <w:r>
        <w:t xml:space="preserve">Login nos dias seguintes</w:t>
      </w:r>
      <w:bookmarkEnd w:id="1"/>
    </w:p>
    <w:p>
      <w:pPr>
        <w:spacing w:after="140"/>
      </w:pPr>
      <w:r>
        <w:t xml:space="preserve">Depois de configurado, o login passa a ter duas etapas: primeiro e-mail e senha, depois uma segunda tela pedindo o código do aplicativo autenticador. Há um limite de 5 tentativas erradas de código; ao atingir o limite é preciso refazer o login (e-mail e senha) do zero.</w:t>
      </w:r>
    </w:p>
    <w:p>
      <w:pPr>
        <w:pStyle w:val="Heading3"/>
        <w:spacing w:after="100" w:before="220"/>
      </w:pPr>
      <w:bookmarkStart w:name="bm11" w:id="1"/>
      <w:r>
        <w:t xml:space="preserve">Reconfigurar o autenticador (trocou de celular)</w:t>
      </w:r>
      <w:bookmarkEnd w:id="1"/>
    </w:p>
    <w:p>
      <w:pPr>
        <w:spacing w:after="140"/>
      </w:pPr>
      <w:r>
        <w:t xml:space="preserve">Em "Minha conta &gt; Autenticador", use a opção "Reconfigurar autenticador". O sistema pede a senha atual antes de prosseguir, depois mostra um novo QR code para escanear e confirmar, como na primeira configuração — o autenticador antigo deixa de funcionar.</w:t>
      </w:r>
    </w:p>
    <w:p>
      <w:pPr>
        <w:pBdr>
          <w:left w:val="single" w:color="8E8E8E" w:sz="18" w:space="8"/>
        </w:pBdr>
        <w:spacing w:after="200" w:before="100"/>
        <w:ind w:left="120"/>
      </w:pPr>
      <w:r>
        <w:rPr>
          <w:b/>
          <w:bCs/>
        </w:rPr>
        <w:t xml:space="preserve">Perdeu o celular e não consegue mais logar? — </w:t>
      </w:r>
      <w:r>
        <w:t xml:space="preserve">Peça a um administrador ou gestor do escritório para resetar o seu autenticador (tela Equipe, em Configurações). No próximo login você configura um novo, do zero.</w:t>
      </w:r>
    </w:p>
    <w:p>
      <w:pPr>
        <w:pStyle w:val="Heading2"/>
        <w:spacing w:after="140" w:before="320"/>
      </w:pPr>
      <w:bookmarkStart w:name="bm12" w:id="1"/>
      <w:r>
        <w:t xml:space="preserve">2.3 Esqueci minha senha</w:t>
      </w:r>
      <w:bookmarkEnd w:id="1"/>
    </w:p>
    <w:p>
      <w:pPr>
        <w:spacing w:after="140"/>
      </w:pPr>
      <w:r>
        <w:t xml:space="preserve">Na tela de login, clique em "Esqueceu a senha?" e siga os três passos:</w:t>
      </w:r>
    </w:p>
    <w:p>
      <w:pPr>
        <w:spacing w:after="60"/>
        <w:ind w:left="360"/>
      </w:pPr>
      <w:r>
        <w:rPr>
          <w:b/>
          <w:bCs/>
        </w:rPr>
        <w:t xml:space="preserve">1. </w:t>
      </w:r>
      <w:r>
        <w:t xml:space="preserve">Informe o e-mail da sua conta. O sistema envia um código de 6 dígitos por e-mail (válido por 15 minutos).</w:t>
      </w:r>
    </w:p>
    <w:p>
      <w:pPr>
        <w:spacing w:after="60"/>
        <w:ind w:left="360"/>
      </w:pPr>
      <w:r>
        <w:rPr>
          <w:b/>
          <w:bCs/>
        </w:rPr>
        <w:t xml:space="preserve">2. </w:t>
      </w:r>
      <w:r>
        <w:t xml:space="preserve">Digite o código recebido. Há um link para reenviar o código e outro para usar outro e-mail. Depois de 5 tentativas erradas é preciso pedir um novo código.</w:t>
      </w:r>
    </w:p>
    <w:p>
      <w:pPr>
        <w:spacing w:after="60"/>
        <w:ind w:left="360"/>
      </w:pPr>
      <w:r>
        <w:rPr>
          <w:b/>
          <w:bCs/>
        </w:rPr>
        <w:t xml:space="preserve">3. </w:t>
      </w:r>
      <w:r>
        <w:t xml:space="preserve">Defina a nova senha e confirme-a novamente no campo seguinte.</w:t>
      </w:r>
    </w:p>
    <w:p>
      <w:pPr>
        <w:spacing w:after="140"/>
      </w:pPr>
      <w:r>
        <w:t xml:space="preserve">A nova senha precisa ter no mínimo 8 caracteres, com pelo menos uma letra maiúscula, uma minúscula, um número e um caractere especial (por exemplo: ! @ # $ % &amp; * - _ .). Concluído esse passo, você é levado de volta à tela de login para entrar com a nova senha.</w:t>
      </w:r>
    </w:p>
    <w:p>
      <w:pPr>
        <w:pStyle w:val="Heading2"/>
        <w:spacing w:after="140" w:before="320"/>
      </w:pPr>
      <w:bookmarkStart w:name="bm13" w:id="1"/>
      <w:r>
        <w:t xml:space="preserve">2.4 Minhas preferências</w:t>
      </w:r>
      <w:bookmarkEnd w:id="1"/>
    </w:p>
    <w:p>
      <w:pPr>
        <w:spacing w:after="140"/>
      </w:pPr>
      <w:r>
        <w:t xml:space="preserve">Em "Minha conta &gt; Preferências" você escolhe qual grupo do menu (Operação, Governança de carteira ou Configurações) já aparece aberto ao entrar no sistema.</w:t>
      </w:r>
    </w:p>
    <w:p>
      <w:pPr>
        <w:pStyle w:val="Heading1"/>
        <w:pageBreakBefore/>
        <w:spacing w:after="240" w:before="0"/>
      </w:pPr>
      <w:bookmarkStart w:name="bm14" w:id="1"/>
      <w:r>
        <w:t xml:space="preserve">3. Operação</w:t>
      </w:r>
      <w:bookmarkEnd w:id="1"/>
    </w:p>
    <w:p>
      <w:pPr>
        <w:pStyle w:val="Heading2"/>
        <w:spacing w:after="140" w:before="320"/>
      </w:pPr>
      <w:bookmarkStart w:name="bm15" w:id="1"/>
      <w:r>
        <w:t xml:space="preserve">3.1 Painel inicial</w:t>
      </w:r>
      <w:bookmarkEnd w:id="1"/>
    </w:p>
    <w:p>
      <w:pPr>
        <w:spacing w:after="140"/>
      </w:pPr>
      <w:r>
        <w:t xml:space="preserve">É a primeira tela ao entrar no sistema. Mostra um resumo do escritório (ou da sua unidade, se você não for administrador):</w:t>
      </w:r>
    </w:p>
    <w:p>
      <w:pPr>
        <w:pStyle w:val="ListParagraph"/>
        <w:numPr>
          <w:ilvl w:val="0"/>
          <w:numId w:val="1"/>
        </w:numPr>
        <w:spacing w:after="60"/>
      </w:pPr>
      <w:r>
        <w:t xml:space="preserve">Processos ativos — quantidade e soma do valor da causa.</w:t>
      </w:r>
    </w:p>
    <w:p>
      <w:pPr>
        <w:pStyle w:val="ListParagraph"/>
        <w:numPr>
          <w:ilvl w:val="0"/>
          <w:numId w:val="1"/>
        </w:numPr>
        <w:spacing w:after="60"/>
      </w:pPr>
      <w:r>
        <w:t xml:space="preserve">Clientes ativos — quantidade.</w:t>
      </w:r>
    </w:p>
    <w:p>
      <w:pPr>
        <w:pStyle w:val="ListParagraph"/>
        <w:numPr>
          <w:ilvl w:val="0"/>
          <w:numId w:val="1"/>
        </w:numPr>
        <w:spacing w:after="60"/>
      </w:pPr>
      <w:r>
        <w:t xml:space="preserve">Prazos em atenção — prazos pendentes que vencem nos próximos 5 dias.</w:t>
      </w:r>
    </w:p>
    <w:p>
      <w:pPr>
        <w:pStyle w:val="ListParagraph"/>
        <w:numPr>
          <w:ilvl w:val="0"/>
          <w:numId w:val="1"/>
        </w:numPr>
        <w:spacing w:after="60"/>
      </w:pPr>
      <w:r>
        <w:t xml:space="preserve">Prazos perdidos — prazos pendentes já vencidos, destacados em vermelho.</w:t>
      </w:r>
    </w:p>
    <w:p>
      <w:pPr>
        <w:pStyle w:val="ListParagraph"/>
        <w:numPr>
          <w:ilvl w:val="0"/>
          <w:numId w:val="1"/>
        </w:numPr>
        <w:spacing w:after="60"/>
      </w:pPr>
      <w:r>
        <w:t xml:space="preserve">Unidades ativas (só para administradores) — com uma tabela comparativa entre as unidades do escritório.</w:t>
      </w:r>
    </w:p>
    <w:p>
      <w:pPr>
        <w:spacing w:after="140"/>
      </w:pPr>
      <w:r>
        <w:t xml:space="preserve">Abaixo dos indicadores, blocos de resumo trazem os próximos prazos, as próximas audiências, as tarefas pendentes e a distribuição de processos por área do direito, todos com atalho direto para o respectivo processo, tarefa ou tela.</w:t>
      </w:r>
    </w:p>
    <w:p>
      <w:pPr>
        <w:shd w:fill="F2F2F2" w:val="clear"/>
        <w:spacing w:after="200"/>
      </w:pPr>
      <w:r>
        <w:rPr>
          <w:b/>
          <w:bCs/>
          <w:i/>
          <w:iCs/>
        </w:rPr>
        <w:t xml:space="preserve">Quem pode usar: </w:t>
      </w:r>
      <w:r>
        <w:rPr>
          <w:i/>
          <w:iCs/>
        </w:rPr>
        <w:t xml:space="preserve">qualquer usuário autenticado; os números respeitam sempre o escopo de unidade/empresa de cada pessoa.</w:t>
      </w:r>
    </w:p>
    <w:p>
      <w:pPr>
        <w:pStyle w:val="Heading2"/>
        <w:spacing w:after="140" w:before="320"/>
      </w:pPr>
      <w:bookmarkStart w:name="bm16" w:id="1"/>
      <w:r>
        <w:t xml:space="preserve">3.2 Clientes</w:t>
      </w:r>
      <w:bookmarkEnd w:id="1"/>
    </w:p>
    <w:p>
      <w:pPr>
        <w:pStyle w:val="Heading3"/>
        <w:spacing w:after="100" w:before="220"/>
      </w:pPr>
      <w:bookmarkStart w:name="bm17" w:id="1"/>
      <w:r>
        <w:t xml:space="preserve">Listar e buscar</w:t>
      </w:r>
      <w:bookmarkEnd w:id="1"/>
    </w:p>
    <w:p>
      <w:pPr>
        <w:spacing w:after="140"/>
      </w:pPr>
      <w:r>
        <w:t xml:space="preserve">A tela de listagem permite buscar por nome ou CPF/CNPJ. Administradores também veem a coluna Unidade.</w:t>
      </w:r>
    </w:p>
    <w:p>
      <w:pPr>
        <w:pStyle w:val="Heading3"/>
        <w:spacing w:after="100" w:before="220"/>
      </w:pPr>
      <w:bookmarkStart w:name="bm18" w:id="1"/>
      <w:r>
        <w:t xml:space="preserve">Cadastrar um cliente novo</w:t>
      </w:r>
      <w:bookmarkEnd w:id="1"/>
    </w:p>
    <w:p>
      <w:pPr>
        <w:spacing w:after="140"/>
      </w:pPr>
      <w:r>
        <w:t xml:space="preserve">Clique em "+ Novo cliente" e preencha:</w:t>
      </w:r>
    </w:p>
    <w:p>
      <w:pPr>
        <w:pStyle w:val="ListParagraph"/>
        <w:numPr>
          <w:ilvl w:val="0"/>
          <w:numId w:val="1"/>
        </w:numPr>
        <w:spacing w:after="60"/>
      </w:pPr>
      <w:r>
        <w:t xml:space="preserve">Tipo de pessoa (física ou jurídica) e nome/razão social (obrigatório).</w:t>
      </w:r>
    </w:p>
    <w:p>
      <w:pPr>
        <w:pStyle w:val="ListParagraph"/>
        <w:numPr>
          <w:ilvl w:val="0"/>
          <w:numId w:val="1"/>
        </w:numPr>
        <w:spacing w:after="60"/>
      </w:pPr>
      <w:r>
        <w:t xml:space="preserve">CPF/CNPJ, RG/IE, telefone, WhatsApp e e-mail.</w:t>
      </w:r>
    </w:p>
    <w:p>
      <w:pPr>
        <w:pStyle w:val="ListParagraph"/>
        <w:numPr>
          <w:ilvl w:val="0"/>
          <w:numId w:val="1"/>
        </w:numPr>
        <w:spacing w:after="60"/>
      </w:pPr>
      <w:r>
        <w:t xml:space="preserve">Endereço — o CEP preenche automaticamente rua, bairro, cidade e UF.</w:t>
      </w:r>
    </w:p>
    <w:p>
      <w:pPr>
        <w:pStyle w:val="ListParagraph"/>
        <w:numPr>
          <w:ilvl w:val="0"/>
          <w:numId w:val="1"/>
        </w:numPr>
        <w:spacing w:after="60"/>
      </w:pPr>
      <w:r>
        <w:t xml:space="preserve">Valor/hora padrão (opcional) — só é usado como sugestão ao gerar cobrança a partir do timesheet.</w:t>
      </w:r>
    </w:p>
    <w:p>
      <w:pPr>
        <w:pStyle w:val="ListParagraph"/>
        <w:numPr>
          <w:ilvl w:val="0"/>
          <w:numId w:val="1"/>
        </w:numPr>
        <w:spacing w:after="60"/>
      </w:pPr>
      <w:r>
        <w:t xml:space="preserve">Campos de LGPD: base legal do tratamento de dados e data/observações do consentimento obtido.</w:t>
      </w:r>
    </w:p>
    <w:p>
      <w:pPr>
        <w:spacing w:after="140"/>
      </w:pPr>
      <w:r>
        <w:t xml:space="preserve">Ao salvar, o sistema verifica automaticamente se esse cliente já aparece como parte contrária em outro processo do escritório e, se for o caso, mostra um alerta de conflito de interesse (o cadastro nunca é bloqueado por isso, apenas sinalizado).</w:t>
      </w:r>
    </w:p>
    <w:p>
      <w:pPr>
        <w:pStyle w:val="Heading3"/>
        <w:spacing w:after="100" w:before="220"/>
      </w:pPr>
      <w:bookmarkStart w:name="bm19" w:id="1"/>
      <w:r>
        <w:t xml:space="preserve">Tela de detalhe do cliente</w:t>
      </w:r>
      <w:bookmarkEnd w:id="1"/>
    </w:p>
    <w:p>
      <w:pPr>
        <w:spacing w:after="140"/>
      </w:pPr>
      <w:r>
        <w:t xml:space="preserve">Mostra os dados cadastrais, os processos vinculados (com atalho para "+ Novo processo" já associado a esse cliente) e, se houver, o alerta de conflito de interesse. A partir daqui você acessa:</w:t>
      </w:r>
    </w:p>
    <w:p>
      <w:pPr>
        <w:pStyle w:val="ListParagraph"/>
        <w:numPr>
          <w:ilvl w:val="0"/>
          <w:numId w:val="1"/>
        </w:numPr>
        <w:spacing w:after="60"/>
      </w:pPr>
      <w:r>
        <w:t xml:space="preserve">Editar — mesmos campos do cadastro.</w:t>
      </w:r>
    </w:p>
    <w:p>
      <w:pPr>
        <w:pStyle w:val="ListParagraph"/>
        <w:numPr>
          <w:ilvl w:val="0"/>
          <w:numId w:val="1"/>
        </w:numPr>
        <w:spacing w:after="60"/>
      </w:pPr>
      <w:r>
        <w:t xml:space="preserve">Inativar/Reativar — desativa o cliente sem excluir seus dados.</w:t>
      </w:r>
    </w:p>
    <w:p>
      <w:pPr>
        <w:pStyle w:val="ListParagraph"/>
        <w:numPr>
          <w:ilvl w:val="0"/>
          <w:numId w:val="1"/>
        </w:numPr>
        <w:spacing w:after="60"/>
      </w:pPr>
      <w:r>
        <w:t xml:space="preserve">Exportar dados (LGPD) — baixa um arquivo com tudo o que o sistema guarda sobre o cliente (cadastro, processos, financeiro, horas apontadas, compromissos), para atender pedidos de portabilidade.</w:t>
      </w:r>
    </w:p>
    <w:p>
      <w:pPr>
        <w:pStyle w:val="ListParagraph"/>
        <w:numPr>
          <w:ilvl w:val="0"/>
          <w:numId w:val="1"/>
        </w:numPr>
        <w:spacing w:after="60"/>
      </w:pPr>
      <w:r>
        <w:t xml:space="preserve">Exportar pacote completo (.zip) — como acima, mas incluindo também os arquivos de documentos anexados aos processos do cliente.</w:t>
      </w:r>
    </w:p>
    <w:p>
      <w:pPr>
        <w:pStyle w:val="ListParagraph"/>
        <w:numPr>
          <w:ilvl w:val="0"/>
          <w:numId w:val="1"/>
        </w:numPr>
        <w:spacing w:after="60"/>
      </w:pPr>
      <w:r>
        <w:t xml:space="preserve">Due diligence — pesquisa se o cliente aparece como parte em processos em qualquer lugar do Brasil, não só nos já cadastrados no sistema. Depende de um provedor de busca contratado pelo escritório; sem ele, a tela explica a limitação em vez de simular um resultado.</w:t>
      </w:r>
    </w:p>
    <w:p>
      <w:pPr>
        <w:pStyle w:val="ListParagraph"/>
        <w:numPr>
          <w:ilvl w:val="0"/>
          <w:numId w:val="1"/>
        </w:numPr>
        <w:spacing w:after="60"/>
      </w:pPr>
      <w:r>
        <w:t xml:space="preserve">Anonimizar — apaga de forma definitiva os dados pessoais do cliente (nome, CPF/CNPJ, contatos, endereço), mantendo apenas os registros de processos/financeiro sem identificar a pessoa. Exige confirmação explícita e é irreversível.</w:t>
      </w:r>
    </w:p>
    <w:p>
      <w:pPr>
        <w:shd w:fill="F2F2F2" w:val="clear"/>
        <w:spacing w:after="200"/>
      </w:pPr>
      <w:r>
        <w:rPr>
          <w:b/>
          <w:bCs/>
          <w:i/>
          <w:iCs/>
        </w:rPr>
        <w:t xml:space="preserve">Quem pode usar: </w:t>
      </w:r>
      <w:r>
        <w:rPr>
          <w:i/>
          <w:iCs/>
        </w:rPr>
        <w:t xml:space="preserve">cadastro, edição, exportações e ativar/inativar: qualquer usuário autenticado. Due diligence: administrador ou gestor. Anonimizar: apenas administrador.</w:t>
      </w:r>
    </w:p>
    <w:p>
      <w:pPr>
        <w:pStyle w:val="Heading2"/>
        <w:spacing w:after="140" w:before="320"/>
      </w:pPr>
      <w:bookmarkStart w:name="bm20" w:id="1"/>
      <w:r>
        <w:t xml:space="preserve">3.3 Processos</w:t>
      </w:r>
      <w:bookmarkEnd w:id="1"/>
    </w:p>
    <w:p>
      <w:pPr>
        <w:spacing w:after="140"/>
      </w:pPr>
      <w:r>
        <w:t xml:space="preserve">É o módulo central do sistema. Reúne o cadastro do processo, prazos, audiências, documentos, andamentos, decisões, relatório e as ferramentas de inteligência artificial aplicadas ao caso.</w:t>
      </w:r>
    </w:p>
    <w:p>
      <w:pPr>
        <w:pStyle w:val="Heading3"/>
        <w:spacing w:after="100" w:before="220"/>
      </w:pPr>
      <w:bookmarkStart w:name="bm21" w:id="1"/>
      <w:r>
        <w:t xml:space="preserve">3.3.1 Cadastrar um processo novo</w:t>
      </w:r>
      <w:bookmarkEnd w:id="1"/>
    </w:p>
    <w:p>
      <w:pPr>
        <w:spacing w:after="140"/>
      </w:pPr>
      <w:r>
        <w:t xml:space="preserve">Clique em "+ Novo processo". O cadastro tem dois passos:</w:t>
      </w:r>
    </w:p>
    <w:p>
      <w:pPr>
        <w:spacing w:after="60"/>
        <w:ind w:left="360"/>
      </w:pPr>
      <w:r>
        <w:rPr>
          <w:b/>
          <w:bCs/>
        </w:rPr>
        <w:t xml:space="preserve">1. </w:t>
      </w:r>
      <w:r>
        <w:t xml:space="preserve">Digite o número CNJ do processo (se já tiver) e clique em "Buscar" — ou avance sem número clicando em "Não tenho o número agora". Com um número válido, o sistema já consulta os sistemas dos tribunais e sugere automaticamente área do direito, tipo de ação, vara, instância, comarca, valor da causa e data de distribuição.</w:t>
      </w:r>
    </w:p>
    <w:p>
      <w:pPr>
        <w:spacing w:after="60"/>
        <w:ind w:left="360"/>
      </w:pPr>
      <w:r>
        <w:rPr>
          <w:b/>
          <w:bCs/>
        </w:rPr>
        <w:t xml:space="preserve">2. </w:t>
      </w:r>
      <w:r>
        <w:t xml:space="preserve">Confira/complete os demais campos: cliente, unidade, fase, polo do cliente (autor, réu, interessado ou terceiro), parte contrária e advogado dela, responsável pelo caso, descrição/objeto, pedidos, causa de pedir e, se for o caso, marque "Processo em segredo de justiça".</w:t>
      </w:r>
    </w:p>
    <w:p>
      <w:pPr>
        <w:spacing w:after="140"/>
      </w:pPr>
      <w:r>
        <w:t xml:space="preserve">Os campos preenchidos automaticamente ficam bloqueados para edição, mas sempre com um ícone de lápis para corrigir manualmente se necessário. Ao salvar, o sistema tenta capturar novamente os dados do processo nos sistemas dos tribunais; se conseguir, o processo fica marcado como "monitorado automaticamente" — senão, fica marcado como "não monitorável", com o motivo explicado na tela, e pode ser atualizado manualmente depois.</w:t>
      </w:r>
    </w:p>
    <w:p>
      <w:pPr>
        <w:spacing w:after="140"/>
      </w:pPr>
      <w:r>
        <w:t xml:space="preserve">Se a parte contrária informada já for cliente do escritório em outro processo, aparece um alerta de conflito de interesse (apenas informativo).</w:t>
      </w:r>
    </w:p>
    <w:p>
      <w:pPr>
        <w:pStyle w:val="Heading3"/>
        <w:spacing w:after="100" w:before="220"/>
      </w:pPr>
      <w:bookmarkStart w:name="bm22" w:id="1"/>
      <w:r>
        <w:t xml:space="preserve">3.3.2 Marcar um processo como sigiloso</w:t>
      </w:r>
      <w:bookmarkEnd w:id="1"/>
    </w:p>
    <w:p>
      <w:pPr>
        <w:spacing w:after="140"/>
      </w:pPr>
      <w:r>
        <w:t xml:space="preserve">Quando "Processo em segredo de justiça" está marcado, só conseguem abrir o processo: o administrador, o responsável pelo caso, quem cadastrou e as pessoas incluídas explicitamente na lista "Quem mais pode ver este processo" (gerenciada por um administrador, na edição do processo). Os demais usuários da mesma unidade não veem esse processo nem na listagem.</w:t>
      </w:r>
    </w:p>
    <w:p>
      <w:pPr>
        <w:pStyle w:val="Heading3"/>
        <w:spacing w:after="100" w:before="220"/>
      </w:pPr>
      <w:bookmarkStart w:name="bm23" w:id="1"/>
      <w:r>
        <w:t xml:space="preserve">3.3.3 Tela de detalhe do processo</w:t>
      </w:r>
      <w:bookmarkEnd w:id="1"/>
    </w:p>
    <w:p>
      <w:pPr>
        <w:spacing w:after="140"/>
      </w:pPr>
      <w:r>
        <w:t xml:space="preserve">Reúne, em abas, tudo sobre o caso: Andamentos, Prazos, Audiências, Documentos, Governança, Decisões, Cofre de senha e Análise de IA. O sistema lembra em qual aba você estava da última vez que abriu esse processo. No topo há os botões "PDF" (gera um resumo do processo em PDF, com o timbrado do escritório), "Relatório" (seção 3.3.9) e "Editar".</w:t>
      </w:r>
    </w:p>
    <w:p>
      <w:pPr>
        <w:pStyle w:val="Heading3"/>
        <w:spacing w:after="100" w:before="220"/>
      </w:pPr>
      <w:bookmarkStart w:name="bm24" w:id="1"/>
      <w:r>
        <w:t xml:space="preserve">3.3.4 Atualizar os dados do processo no tribunal</w:t>
      </w:r>
      <w:bookmarkEnd w:id="1"/>
    </w:p>
    <w:p>
      <w:pPr>
        <w:spacing w:after="140"/>
      </w:pPr>
      <w:r>
        <w:t xml:space="preserve">O botão "Buscar processo", no painel lateral do detalhe, atualiza os dados junto aos tribunais em um único clique:</w:t>
      </w:r>
    </w:p>
    <w:p>
      <w:pPr>
        <w:pStyle w:val="ListParagraph"/>
        <w:numPr>
          <w:ilvl w:val="0"/>
          <w:numId w:val="1"/>
        </w:numPr>
        <w:spacing w:after="60"/>
      </w:pPr>
      <w:r>
        <w:t xml:space="preserve">Se você tiver um Agente Local pareado (seção 3.10), o sistema pede ao seu computador para buscar os autos completos direto pelo sistema do tribunal, usando o seu certificado digital — inclusive em processos sigilosos, quando você for procurador. É um processo assíncrono: o resultado aparece depois, na aba Documentos.</w:t>
      </w:r>
    </w:p>
    <w:p>
      <w:pPr>
        <w:pStyle w:val="ListParagraph"/>
        <w:numPr>
          <w:ilvl w:val="0"/>
          <w:numId w:val="1"/>
        </w:numPr>
        <w:spacing w:after="60"/>
      </w:pPr>
      <w:r>
        <w:t xml:space="preserve">Sem agente pareado (ou clicando em "buscar pelos sistemas públicos agora"), o sistema consulta direto os sistemas públicos aplicáveis ao número do processo, sem precisar de certificado nem login.</w:t>
      </w:r>
    </w:p>
    <w:p>
      <w:pPr>
        <w:spacing w:after="140"/>
      </w:pPr>
      <w:r>
        <w:t xml:space="preserve">Para tribunais que ainda não têm integração automática, a tela oferece links que abrem o site oficial do tribunal em outra aba, para consulta manual (o número do processo já vem preenchido, quando possível).</w:t>
      </w:r>
    </w:p>
    <w:p>
      <w:pPr>
        <w:pStyle w:val="Heading3"/>
        <w:spacing w:after="100" w:before="220"/>
      </w:pPr>
      <w:bookmarkStart w:name="bm25" w:id="1"/>
      <w:r>
        <w:t xml:space="preserve">3.3.5 Andamentos</w:t>
      </w:r>
      <w:bookmarkEnd w:id="1"/>
    </w:p>
    <w:p>
      <w:pPr>
        <w:spacing w:after="140"/>
      </w:pPr>
      <w:r>
        <w:t xml:space="preserve">Na aba Andamentos você registra manualmente um evento na linha do tempo do processo — movimentação, petição, decisão ou contato com o cliente — com uma breve descrição.</w:t>
      </w:r>
    </w:p>
    <w:p>
      <w:pPr>
        <w:pStyle w:val="Heading3"/>
        <w:spacing w:after="100" w:before="220"/>
      </w:pPr>
      <w:bookmarkStart w:name="bm26" w:id="1"/>
      <w:r>
        <w:t xml:space="preserve">3.3.6 Prazos e a "data de segurança"</w:t>
      </w:r>
      <w:bookmarkEnd w:id="1"/>
    </w:p>
    <w:p>
      <w:pPr>
        <w:spacing w:after="140"/>
      </w:pPr>
      <w:r>
        <w:t xml:space="preserve">Na aba Prazos você cadastra um novo prazo informando:</w:t>
      </w:r>
    </w:p>
    <w:p>
      <w:pPr>
        <w:pStyle w:val="ListParagraph"/>
        <w:numPr>
          <w:ilvl w:val="0"/>
          <w:numId w:val="1"/>
        </w:numPr>
        <w:spacing w:after="60"/>
      </w:pPr>
      <w:r>
        <w:t xml:space="preserve">Descrição do prazo.</w:t>
      </w:r>
    </w:p>
    <w:p>
      <w:pPr>
        <w:pStyle w:val="ListParagraph"/>
        <w:numPr>
          <w:ilvl w:val="0"/>
          <w:numId w:val="1"/>
        </w:numPr>
        <w:spacing w:after="60"/>
      </w:pPr>
      <w:r>
        <w:t xml:space="preserve">Data de vencimento (o prazo legal, obrigatória).</w:t>
      </w:r>
    </w:p>
    <w:p>
      <w:pPr>
        <w:pStyle w:val="ListParagraph"/>
        <w:numPr>
          <w:ilvl w:val="0"/>
          <w:numId w:val="1"/>
        </w:numPr>
        <w:spacing w:after="60"/>
      </w:pPr>
      <w:r>
        <w:t xml:space="preserve">Data de segurança (opcional) — uma data de alerta interno, alguns dias antes do vencimento, pensada para dar margem de reação à equipe. Se você deixar em branco, o sistema calcula essa data automaticamente; se preferir, pode sempre digitar a sua própria data.</w:t>
      </w:r>
    </w:p>
    <w:p>
      <w:pPr>
        <w:pStyle w:val="ListParagraph"/>
        <w:numPr>
          <w:ilvl w:val="0"/>
          <w:numId w:val="1"/>
        </w:numPr>
        <w:spacing w:after="60"/>
      </w:pPr>
      <w:r>
        <w:t xml:space="preserve">Prioridade (normal, alta, urgente ou baixa).</w:t>
      </w:r>
    </w:p>
    <w:p>
      <w:pPr>
        <w:spacing w:after="140"/>
      </w:pPr>
      <w:r>
        <w:t xml:space="preserve">Enquanto o prazo está dentro dessa margem (a partir da data de segurança e ainda sem vencer), ele aparece destacado na lista com o selo "dentro da margem de segurança".</w:t>
      </w:r>
    </w:p>
    <w:p>
      <w:pPr>
        <w:spacing w:after="140"/>
      </w:pPr>
      <w:r>
        <w:t xml:space="preserve">Para marcar um prazo como cumprido, use "Fechar com evidência": vincule uma movimentação já capturada no processo (por exemplo, o protocolo) ou um documento comprobatório anexado — o sistema pode sugerir automaticamente qual movimentação corresponde, mas a confirmação final é sempre manual, com um clique em "Confirmar cumprimento". Marcar como "perdido" é direto, sem exigir evidência.</w:t>
      </w:r>
    </w:p>
    <w:p>
      <w:pPr>
        <w:spacing w:after="140"/>
      </w:pPr>
      <w:r>
        <w:t xml:space="preserve">Quando um processo é cadastrado a partir de um número CNJ e traz histórico antigo do tribunal, os prazos anteriores ao cadastro no sistema aparecem destacados com o botão "Regularizar prazo(s) anterior(es) ao cadastro" — marca todos de uma vez como "histórico anterior" (não como "cumprido" nem "perdido"), pedindo um motivo, para não contar como perda algo que o escritório não geriu pelo sistema.</w:t>
      </w:r>
    </w:p>
    <w:p>
      <w:pPr>
        <w:pStyle w:val="Heading3"/>
        <w:spacing w:after="100" w:before="220"/>
      </w:pPr>
      <w:bookmarkStart w:name="bm27" w:id="1"/>
      <w:r>
        <w:t xml:space="preserve">3.3.7 Audiências</w:t>
      </w:r>
      <w:bookmarkEnd w:id="1"/>
    </w:p>
    <w:p>
      <w:pPr>
        <w:spacing w:after="140"/>
      </w:pPr>
      <w:r>
        <w:t xml:space="preserve">Cadastro simples: tipo, data/hora, local, modalidade (presencial ou virtual, com link), observações e responsável. O status pode ser atualizado depois de realizada.</w:t>
      </w:r>
    </w:p>
    <w:p>
      <w:pPr>
        <w:pStyle w:val="Heading3"/>
        <w:spacing w:after="100" w:before="220"/>
      </w:pPr>
      <w:bookmarkStart w:name="bm28" w:id="1"/>
      <w:r>
        <w:t xml:space="preserve">3.3.8 Documentos dos autos</w:t>
      </w:r>
      <w:bookmarkEnd w:id="1"/>
    </w:p>
    <w:p>
      <w:pPr>
        <w:spacing w:after="140"/>
      </w:pPr>
      <w:r>
        <w:t xml:space="preserve">Na aba Documentos você anexa arquivos ao processo, escolhendo uma categoria (petição, procuração, contrato, decisão, laudo ou outros). Assim que o upload termina, o sistema indexa o conteúdo em segundo plano automaticamente — extrai o texto do arquivo (com reconhecimento óptico de caracteres quando o PDF é uma imagem escaneada) e o organiza em trechos, sem nunca cortar no meio de uma palavra ou frase. Cada documento mostra na lista se já foi indexado (com o número de trechos), se falhou (com o motivo) ou se ainda não foi processado; o botão "Reindexar" refaz o processo quando necessário.</w:t>
      </w:r>
    </w:p>
    <w:p>
      <w:pPr>
        <w:spacing w:after="140"/>
      </w:pPr>
      <w:r>
        <w:t xml:space="preserve">Não existe uma caixa de busca para digitar e pesquisar dentro dos documentos. Em vez disso, o conteúdo indexado é usado automaticamente pelas ferramentas de Análise de IA (seção 3.3.10): ao pedir um resumo dos autos ou um rascunho de petição, o sistema já localiza sozinho os trechos mais relevantes dos documentos anexados.</w:t>
      </w:r>
    </w:p>
    <w:p>
      <w:pPr>
        <w:spacing w:after="140"/>
      </w:pPr>
      <w:r>
        <w:t xml:space="preserve">Cada documento pode ser baixado (fica registrado quem baixou e quando) ou excluído. O histórico completo de quem baixou um documento e quando é visível apenas para administradores e gestores.</w:t>
      </w:r>
    </w:p>
    <w:p>
      <w:pPr>
        <w:pStyle w:val="Heading3"/>
        <w:spacing w:after="100" w:before="220"/>
      </w:pPr>
      <w:bookmarkStart w:name="bm29" w:id="1"/>
      <w:r>
        <w:t xml:space="preserve">3.3.9 Buscar autos completos com o Agente Local</w:t>
      </w:r>
      <w:bookmarkEnd w:id="1"/>
    </w:p>
    <w:p>
      <w:pPr>
        <w:spacing w:after="140"/>
      </w:pPr>
      <w:r>
        <w:t xml:space="preserve">Ainda na aba Documentos, é possível pedir o download dos autos completos (PDF) e o histórico integral diretamente do sistema do tribunal, usando o seu certificado digital, através do Agente Local instalado no seu computador (veja a configuração na seção 3.10). Funciona até em processos sigilosos, desde que você seja procurador do caso — o certificado nunca sai do seu computador. A tela mostra o histórico de solicitações, com a opção de baixar o PDF quando concluído ou cancelar uma solicitação ainda em aberto.</w:t>
      </w:r>
    </w:p>
    <w:p>
      <w:pPr>
        <w:pBdr>
          <w:left w:val="single" w:color="8E8E8E" w:sz="18" w:space="8"/>
        </w:pBdr>
        <w:spacing w:after="200" w:before="100"/>
        <w:ind w:left="120"/>
      </w:pPr>
      <w:r>
        <w:rPr>
          <w:b/>
          <w:bCs/>
        </w:rPr>
        <w:t xml:space="preserve">Recurso em fase piloto — </w:t>
      </w:r>
      <w:r>
        <w:t xml:space="preserve">hoje só o conector do PJe está disponível; os demais tribunais aparecem como roadmap futuro. Use os links de consulta manual para os tribunais ainda não suportados.</w:t>
      </w:r>
    </w:p>
    <w:p>
      <w:pPr>
        <w:pStyle w:val="Heading3"/>
        <w:spacing w:after="100" w:before="220"/>
      </w:pPr>
      <w:bookmarkStart w:name="bm30" w:id="1"/>
      <w:r>
        <w:t xml:space="preserve">3.3.10 Análise de IA do processo</w:t>
      </w:r>
      <w:bookmarkEnd w:id="1"/>
    </w:p>
    <w:p>
      <w:pPr>
        <w:spacing w:after="140"/>
      </w:pPr>
      <w:r>
        <w:t xml:space="preserve">Na aba Análise de IA, o sistema gera, a partir dos dados reais do processo (movimentações, decisões, andamentos, prazos e, quando existirem, os documentos já indexados), dois tipos de conteúdo:</w:t>
      </w:r>
    </w:p>
    <w:p>
      <w:pPr>
        <w:pStyle w:val="ListParagraph"/>
        <w:numPr>
          <w:ilvl w:val="0"/>
          <w:numId w:val="1"/>
        </w:numPr>
        <w:spacing w:after="60"/>
      </w:pPr>
      <w:r>
        <w:t xml:space="preserve">Resumo dos autos — basta escolher essa opção e, se quiser, dar uma instrução específica sobre o que destacar.</w:t>
      </w:r>
    </w:p>
    <w:p>
      <w:pPr>
        <w:pStyle w:val="ListParagraph"/>
        <w:numPr>
          <w:ilvl w:val="0"/>
          <w:numId w:val="1"/>
        </w:numPr>
        <w:spacing w:after="60"/>
      </w:pPr>
      <w:r>
        <w:t xml:space="preserve">Rascunho de petição — antes de gerar, é preciso preencher a instrução (o que a petição precisa fazer) e a delimitação do objeto: matéria de fato controvertida, matéria de direito controvertida, tese a sustentar e resultado pretendido são todos obrigatórios; "o que se ataca da decisão" é opcional e só se aplica a recursos. Você também pode escolher o tipo de peça (por exemplo, contestação ou recurso) e indicar um documento já anexado como referência de estilo — isso influencia apenas o tom e a estrutura do texto, nunca os fatos ou fundamentos, que vêm sempre dos dados reais do processo.</w:t>
      </w:r>
    </w:p>
    <w:p>
      <w:pPr>
        <w:spacing w:after="140"/>
      </w:pPr>
      <w:r>
        <w:t xml:space="preserve">A geração roda em segundo plano (pode levar alguns minutos) e a tela se atualiza sozinha quando o resultado fica pronto. Todo texto gerado vem com o aviso de que é sempre um rascunho para revisão humana, nunca um texto pronto para protocolar sem a conferência de um advogado. O histórico de análises anteriores fica disponível na mesma aba.</w:t>
      </w:r>
    </w:p>
    <w:p>
      <w:pPr>
        <w:shd w:fill="F2F2F2" w:val="clear"/>
        <w:spacing w:after="200"/>
      </w:pPr>
      <w:r>
        <w:rPr>
          <w:b/>
          <w:bCs/>
          <w:i/>
          <w:iCs/>
        </w:rPr>
        <w:t xml:space="preserve">Quem pode usar: </w:t>
      </w:r>
      <w:r>
        <w:rPr>
          <w:i/>
          <w:iCs/>
        </w:rPr>
        <w:t xml:space="preserve">disponível quando o escritório tem o módulo de Agente de IA habilitado e um provedor de IA configurado (modelo padrão do sistema ou uma chave própria cadastrada em Minhas Integrações); sem isso, o botão de gerar aparece desabilitado com uma explicação na tela.</w:t>
      </w:r>
    </w:p>
    <w:p>
      <w:pPr>
        <w:pStyle w:val="Heading3"/>
        <w:spacing w:after="100" w:before="220"/>
      </w:pPr>
      <w:bookmarkStart w:name="bm31" w:id="1"/>
      <w:r>
        <w:t xml:space="preserve">3.3.11 Decisões</w:t>
      </w:r>
      <w:bookmarkEnd w:id="1"/>
    </w:p>
    <w:p>
      <w:pPr>
        <w:spacing w:after="140"/>
      </w:pPr>
      <w:r>
        <w:t xml:space="preserve">Tabela somente leitura com as decisões capturadas automaticamente do processo (data, tipo, órgão julgador, resultado e teor) — não há cadastro manual nessa aba.</w:t>
      </w:r>
    </w:p>
    <w:p>
      <w:pPr>
        <w:pStyle w:val="Heading3"/>
        <w:spacing w:after="100" w:before="220"/>
      </w:pPr>
      <w:bookmarkStart w:name="bm32" w:id="1"/>
      <w:r>
        <w:t xml:space="preserve">3.3.12 Cofre de senha do processo</w:t>
      </w:r>
      <w:bookmarkEnd w:id="1"/>
    </w:p>
    <w:p>
      <w:pPr>
        <w:spacing w:after="140"/>
      </w:pPr>
      <w:r>
        <w:t xml:space="preserve">Guarda, de forma protegida, a senha de acesso ao sistema do tribunal para aquele processo (por exemplo, uma senha do sistema de um tribunal estadual). A tela mostra quem cadastrou, quando, e o último acesso; ver a senha exige um clique explícito em "Ver senha", que fica registrado.</w:t>
      </w:r>
    </w:p>
    <w:p>
      <w:pPr>
        <w:pStyle w:val="Heading3"/>
        <w:spacing w:after="100" w:before="220"/>
      </w:pPr>
      <w:bookmarkStart w:name="bm33" w:id="1"/>
      <w:r>
        <w:t xml:space="preserve">3.3.13 Relatório estruturado do processo</w:t>
      </w:r>
      <w:bookmarkEnd w:id="1"/>
    </w:p>
    <w:p>
      <w:pPr>
        <w:spacing w:after="140"/>
      </w:pPr>
      <w:r>
        <w:t xml:space="preserve">O botão "Relatório", no topo do detalhe do processo, reúne num só documento: as partes e seus polos, os pedidos, a causa de pedir, o que já foi decidido (com atalho para cada decisão), as provas produzidas, os valores envolvidos, os prazos ainda em aberto e o estado atual do caso.</w:t>
      </w:r>
    </w:p>
    <w:p>
      <w:pPr>
        <w:pStyle w:val="Heading3"/>
        <w:spacing w:after="100" w:before="220"/>
      </w:pPr>
      <w:bookmarkStart w:name="bm34" w:id="1"/>
      <w:r>
        <w:t xml:space="preserve">3.3.14 Classificação de risco e desfecho</w:t>
      </w:r>
      <w:bookmarkEnd w:id="1"/>
    </w:p>
    <w:p>
      <w:pPr>
        <w:spacing w:after="140"/>
      </w:pPr>
      <w:r>
        <w:t xml:space="preserve">Na edição do processo, é possível registrar a classificação de risco (baixo, médio, alto), a classificação de contingenciamento (provável, possível ou remoto, com o percentual de provisão financeira sugerido automaticamente) e, ao encerrar o caso, o desfecho (ganho, perda, acordo, parcial ou extinção sem resolução de mérito), a data de encerramento e uma observação.</w:t>
      </w:r>
    </w:p>
    <w:p>
      <w:pPr>
        <w:shd w:fill="F2F2F2" w:val="clear"/>
        <w:spacing w:after="200"/>
      </w:pPr>
      <w:r>
        <w:rPr>
          <w:b/>
          <w:bCs/>
          <w:i/>
          <w:iCs/>
        </w:rPr>
        <w:t xml:space="preserve">Quem pode usar: </w:t>
      </w:r>
      <w:r>
        <w:rPr>
          <w:i/>
          <w:iCs/>
        </w:rPr>
        <w:t xml:space="preserve">cadastro, edição, andamentos, prazos, audiências, documentos e a Análise de IA: qualquer usuário autenticado com acesso ao processo. Histórico de quem baixou um documento: administrador ou gestor. Gerenciar a lista de acesso a um processo sigiloso: apenas administrador.</w:t>
      </w:r>
    </w:p>
    <w:p>
      <w:pPr>
        <w:pStyle w:val="Heading2"/>
        <w:spacing w:after="140" w:before="320"/>
      </w:pPr>
      <w:bookmarkStart w:name="bm35" w:id="1"/>
      <w:r>
        <w:t xml:space="preserve">3.4 Agenda</w:t>
      </w:r>
      <w:bookmarkEnd w:id="1"/>
    </w:p>
    <w:p>
      <w:pPr>
        <w:spacing w:after="140"/>
      </w:pPr>
      <w:r>
        <w:t xml:space="preserve">A Agenda mostra, num calendário mensal único, tudo que tem data: prazos processuais, audiências, tarefas com vencimento e compromissos livres (reuniões e outros eventos). Use as setas ou o botão "Hoje" para navegar entre os meses; cada evento tem uma cor diferente por tipo e leva direto ao processo, à tarefa ou ao compromisso correspondente.</w:t>
      </w:r>
    </w:p>
    <w:p>
      <w:pPr>
        <w:pStyle w:val="Heading3"/>
        <w:spacing w:after="100" w:before="220"/>
      </w:pPr>
      <w:bookmarkStart w:name="bm36" w:id="1"/>
      <w:r>
        <w:t xml:space="preserve">Criar um compromisso</w:t>
      </w:r>
      <w:bookmarkEnd w:id="1"/>
    </w:p>
    <w:p>
      <w:pPr>
        <w:spacing w:after="140"/>
      </w:pPr>
      <w:r>
        <w:t xml:space="preserve">Clique em "+ Novo compromisso" e preencha:</w:t>
      </w:r>
    </w:p>
    <w:p>
      <w:pPr>
        <w:pStyle w:val="ListParagraph"/>
        <w:numPr>
          <w:ilvl w:val="0"/>
          <w:numId w:val="1"/>
        </w:numPr>
        <w:spacing w:after="60"/>
      </w:pPr>
      <w:r>
        <w:t xml:space="preserve">Nome e, se quiser, local.</w:t>
      </w:r>
    </w:p>
    <w:p>
      <w:pPr>
        <w:pStyle w:val="ListParagraph"/>
        <w:numPr>
          <w:ilvl w:val="0"/>
          <w:numId w:val="1"/>
        </w:numPr>
        <w:spacing w:after="60"/>
      </w:pPr>
      <w:r>
        <w:t xml:space="preserve">Data e hora (obrigatório).</w:t>
      </w:r>
    </w:p>
    <w:p>
      <w:pPr>
        <w:pStyle w:val="ListParagraph"/>
        <w:numPr>
          <w:ilvl w:val="0"/>
          <w:numId w:val="1"/>
        </w:numPr>
        <w:spacing w:after="60"/>
      </w:pPr>
      <w:r>
        <w:t xml:space="preserve">"Notificar em" (opcional) — quanto tempo antes você quer ser avisado; se deixar em branco, não há lembrete.</w:t>
      </w:r>
    </w:p>
    <w:p>
      <w:pPr>
        <w:pStyle w:val="ListParagraph"/>
        <w:numPr>
          <w:ilvl w:val="0"/>
          <w:numId w:val="1"/>
        </w:numPr>
        <w:spacing w:after="60"/>
      </w:pPr>
      <w:r>
        <w:t xml:space="preserve">Cliente e responsável vinculados (opcional; o responsável padrão é você mesmo).</w:t>
      </w:r>
    </w:p>
    <w:p>
      <w:pPr>
        <w:pStyle w:val="ListParagraph"/>
        <w:numPr>
          <w:ilvl w:val="0"/>
          <w:numId w:val="1"/>
        </w:numPr>
        <w:spacing w:after="60"/>
      </w:pPr>
      <w:r>
        <w:t xml:space="preserve">Descrição (opcional).</w:t>
      </w:r>
    </w:p>
    <w:p>
      <w:pPr>
        <w:pStyle w:val="ListParagraph"/>
        <w:numPr>
          <w:ilvl w:val="0"/>
          <w:numId w:val="1"/>
        </w:numPr>
        <w:spacing w:after="60"/>
      </w:pPr>
      <w:r>
        <w:t xml:space="preserve">Enviar o lembrete também por WhatsApp para o cliente — só aparece se o escritório já tiver conectado um número de WhatsApp em Minhas Integrações.</w:t>
      </w:r>
    </w:p>
    <w:p>
      <w:pPr>
        <w:spacing w:after="140"/>
      </w:pPr>
      <w:r>
        <w:t xml:space="preserve">O lembrete chega como notificação dentro do sistema e, quando configurado, também por e-mail e/ou WhatsApp. Para cancelar, abra o compromisso e use "Cancelar compromisso".</w:t>
      </w:r>
    </w:p>
    <w:p>
      <w:pPr>
        <w:shd w:fill="F2F2F2" w:val="clear"/>
        <w:spacing w:after="200"/>
      </w:pPr>
      <w:r>
        <w:rPr>
          <w:b/>
          <w:bCs/>
          <w:i/>
          <w:iCs/>
        </w:rPr>
        <w:t xml:space="preserve">Quem pode usar: </w:t>
      </w:r>
      <w:r>
        <w:rPr>
          <w:i/>
          <w:iCs/>
        </w:rPr>
        <w:t xml:space="preserve">qualquer usuário autenticado, dentro do próprio escopo de unidade.</w:t>
      </w:r>
    </w:p>
    <w:p>
      <w:pPr>
        <w:pStyle w:val="Heading2"/>
        <w:spacing w:after="140" w:before="320"/>
      </w:pPr>
      <w:bookmarkStart w:name="bm37" w:id="1"/>
      <w:r>
        <w:t xml:space="preserve">3.5 Tarefas</w:t>
      </w:r>
      <w:bookmarkEnd w:id="1"/>
    </w:p>
    <w:p>
      <w:pPr>
        <w:spacing w:after="140"/>
      </w:pPr>
      <w:r>
        <w:t xml:space="preserve">A lista de tarefas pode ser filtrada por status (pendente, em andamento, concluída, cancelada) e por "Somente minhas tarefas". Tarefas atrasadas e ainda não concluídas aparecem com a data em destaque.</w:t>
      </w:r>
    </w:p>
    <w:p>
      <w:pPr>
        <w:pStyle w:val="Heading3"/>
        <w:spacing w:after="100" w:before="220"/>
      </w:pPr>
      <w:bookmarkStart w:name="bm38" w:id="1"/>
      <w:r>
        <w:t xml:space="preserve">Criar uma tarefa</w:t>
      </w:r>
      <w:bookmarkEnd w:id="1"/>
    </w:p>
    <w:p>
      <w:pPr>
        <w:spacing w:after="140"/>
      </w:pPr>
      <w:r>
        <w:t xml:space="preserve">Clique em "+ Nova tarefa" e informe título (obrigatório), descrição, responsável (padrão: você mesmo), processo relacionado (opcional), prioridade e data de vencimento. Se atribuir a outra pessoa, ela recebe uma notificação interna.</w:t>
      </w:r>
    </w:p>
    <w:p>
      <w:pPr>
        <w:spacing w:after="140"/>
      </w:pPr>
      <w:r>
        <w:t xml:space="preserve">Botões rápidos na própria listagem permitem "Iniciar" uma tarefa pendente ou "Concluir" uma tarefa em andamento.</w:t>
      </w:r>
    </w:p>
    <w:p>
      <w:pPr>
        <w:shd w:fill="F2F2F2" w:val="clear"/>
        <w:spacing w:after="200"/>
      </w:pPr>
      <w:r>
        <w:rPr>
          <w:b/>
          <w:bCs/>
          <w:i/>
          <w:iCs/>
        </w:rPr>
        <w:t xml:space="preserve">Quem pode usar: </w:t>
      </w:r>
      <w:r>
        <w:rPr>
          <w:i/>
          <w:iCs/>
        </w:rPr>
        <w:t xml:space="preserve">qualquer usuário autenticado, dentro do próprio escopo de unidade.</w:t>
      </w:r>
    </w:p>
    <w:p>
      <w:pPr>
        <w:pStyle w:val="Heading2"/>
        <w:spacing w:after="140" w:before="320"/>
      </w:pPr>
      <w:bookmarkStart w:name="bm39" w:id="1"/>
      <w:r>
        <w:t xml:space="preserve">3.6 Timesheet (registro de horas)</w:t>
      </w:r>
      <w:bookmarkEnd w:id="1"/>
    </w:p>
    <w:p>
      <w:pPr>
        <w:spacing w:after="140"/>
      </w:pPr>
      <w:r>
        <w:t xml:space="preserve">Serve para apontar as horas trabalhadas, opcionalmente vinculadas a um processo — alimenta tanto a cobrança de honorários por hora (seção 3.7) quanto os indicadores de produtividade da equipe.</w:t>
      </w:r>
    </w:p>
    <w:p>
      <w:pPr>
        <w:pStyle w:val="Heading3"/>
        <w:spacing w:after="100" w:before="220"/>
      </w:pPr>
      <w:bookmarkStart w:name="bm40" w:id="1"/>
      <w:r>
        <w:t xml:space="preserve">Apontar horas</w:t>
      </w:r>
      <w:bookmarkEnd w:id="1"/>
    </w:p>
    <w:p>
      <w:pPr>
        <w:spacing w:after="140"/>
      </w:pPr>
      <w:r>
        <w:t xml:space="preserve">Clique em "+ Apontar horas" e preencha data, quantidade de horas, se é faturável (padrão: sim), o processo (opcional) e uma descrição do que foi feito.</w:t>
      </w:r>
    </w:p>
    <w:p>
      <w:pPr>
        <w:spacing w:after="140"/>
      </w:pPr>
      <w:r>
        <w:t xml:space="preserve">Na listagem, você filtra por período; cada linha mostra se a hora já foi faturada, ainda pode ser cobrada, ou não está vinculada a nenhum processo (nesse último caso não é possível gerar cobrança diretamente por ali).</w:t>
      </w:r>
    </w:p>
    <w:p>
      <w:pPr>
        <w:shd w:fill="F2F2F2" w:val="clear"/>
        <w:spacing w:after="200"/>
      </w:pPr>
      <w:r>
        <w:rPr>
          <w:b/>
          <w:bCs/>
          <w:i/>
          <w:iCs/>
        </w:rPr>
        <w:t xml:space="preserve">Quem pode usar: </w:t>
      </w:r>
      <w:r>
        <w:rPr>
          <w:i/>
          <w:iCs/>
        </w:rPr>
        <w:t xml:space="preserve">qualquer usuário autenticado pode apontar e ver as próprias horas. Um administrador vê as horas de toda a unidade/empresa; os demais papéis só veem as próprias.</w:t>
      </w:r>
    </w:p>
    <w:p>
      <w:pPr>
        <w:pStyle w:val="Heading2"/>
        <w:spacing w:after="140" w:before="320"/>
      </w:pPr>
      <w:bookmarkStart w:name="bm41" w:id="1"/>
      <w:r>
        <w:t xml:space="preserve">3.7 Financeiro</w:t>
      </w:r>
      <w:bookmarkEnd w:id="1"/>
    </w:p>
    <w:p>
      <w:pPr>
        <w:spacing w:after="140"/>
      </w:pPr>
      <w:r>
        <w:t xml:space="preserve">O item "Financeiro" só aparece no menu para administradores, gestores, ou para quem recebeu o acesso financeiro individualmente (seção 1.2).</w:t>
      </w:r>
    </w:p>
    <w:p>
      <w:pPr>
        <w:pStyle w:val="Heading3"/>
        <w:spacing w:after="100" w:before="220"/>
      </w:pPr>
      <w:bookmarkStart w:name="bm42" w:id="1"/>
      <w:r>
        <w:t xml:space="preserve">Caixa do escritório e conta de terceiros</w:t>
      </w:r>
      <w:bookmarkEnd w:id="1"/>
    </w:p>
    <w:p>
      <w:pPr>
        <w:spacing w:after="140"/>
      </w:pPr>
      <w:r>
        <w:t xml:space="preserve">A tela tem duas abas: "Caixa do escritório" (receitas e despesas de verdade do escritório) e "Conta de terceiros" (valores que só passam pelo escritório sem ser receita/despesa própria, como um depósito judicial a repassar ao cliente) — propositalmente separada para nunca inflar o caixa real do escritório. Os indicadores no topo (a receber, recebido no mês, em atraso) e os filtros por natureza, status e unidade ajudam a acompanhar a situação financeira.</w:t>
      </w:r>
    </w:p>
    <w:p>
      <w:pPr>
        <w:pStyle w:val="Heading3"/>
        <w:spacing w:after="100" w:before="220"/>
      </w:pPr>
      <w:bookmarkStart w:name="bm43" w:id="1"/>
      <w:r>
        <w:t xml:space="preserve">Lançar uma receita ou despesa</w:t>
      </w:r>
      <w:bookmarkEnd w:id="1"/>
    </w:p>
    <w:p>
      <w:pPr>
        <w:spacing w:after="140"/>
      </w:pPr>
      <w:r>
        <w:t xml:space="preserve">Clique em "+ Novo lançamento" e informe:</w:t>
      </w:r>
    </w:p>
    <w:p>
      <w:pPr>
        <w:pStyle w:val="ListParagraph"/>
        <w:numPr>
          <w:ilvl w:val="0"/>
          <w:numId w:val="1"/>
        </w:numPr>
        <w:spacing w:after="60"/>
      </w:pPr>
      <w:r>
        <w:t xml:space="preserve">Descrição, natureza (receita ou despesa) e tipo (honorário, custas processuais, despesa operacional ou outro).</w:t>
      </w:r>
    </w:p>
    <w:p>
      <w:pPr>
        <w:pStyle w:val="ListParagraph"/>
        <w:numPr>
          <w:ilvl w:val="0"/>
          <w:numId w:val="1"/>
        </w:numPr>
        <w:spacing w:after="60"/>
      </w:pPr>
      <w:r>
        <w:t xml:space="preserve">Modelo de cobrança: Fixo (valor digitado direto), Êxito (percentual sobre um valor-base, com o valor calculado automaticamente, mas sempre editável) ou Retainer (mensalidade recorrente — não é gerada sozinha; um botão "Gerar próximo mês" duplica o lançamento com vencimento um mês à frente, sempre por ação manual).</w:t>
      </w:r>
    </w:p>
    <w:p>
      <w:pPr>
        <w:pStyle w:val="ListParagraph"/>
        <w:numPr>
          <w:ilvl w:val="0"/>
          <w:numId w:val="1"/>
        </w:numPr>
        <w:spacing w:after="60"/>
      </w:pPr>
      <w:r>
        <w:t xml:space="preserve">Valor, vencimento, parcela, cliente e processo vinculados (opcionais), forma de pagamento e observações.</w:t>
      </w:r>
    </w:p>
    <w:p>
      <w:pPr>
        <w:pStyle w:val="ListParagraph"/>
        <w:numPr>
          <w:ilvl w:val="0"/>
          <w:numId w:val="1"/>
        </w:numPr>
        <w:spacing w:after="60"/>
      </w:pPr>
      <w:r>
        <w:t xml:space="preserve">"É valor de terceiros" — marque se o lançamento pertence à aba Conta de terceiros.</w:t>
      </w:r>
    </w:p>
    <w:p>
      <w:pPr>
        <w:spacing w:after="140"/>
      </w:pPr>
      <w:r>
        <w:t xml:space="preserve">Ao marcar uma despesa como paga, use o botão "Marcar pago" na listagem (se a data de pagamento não for informada, usa a data de hoje). Depois de pago, fica disponível o botão "Recibo (PDF)", que gera um recibo com os dados do escritório (e o timbrado, se cadastrado), valor por extenso, cliente, processo e forma de pagamento.</w:t>
      </w:r>
    </w:p>
    <w:p>
      <w:pPr>
        <w:pStyle w:val="Heading3"/>
        <w:spacing w:after="100" w:before="220"/>
      </w:pPr>
      <w:bookmarkStart w:name="bm44" w:id="1"/>
      <w:r>
        <w:t xml:space="preserve">Gerar cobrança a partir de horas</w:t>
      </w:r>
      <w:bookmarkEnd w:id="1"/>
    </w:p>
    <w:p>
      <w:pPr>
        <w:spacing w:after="140"/>
      </w:pPr>
      <w:r>
        <w:t xml:space="preserve">Uma forma rápida de transformar horas já apontadas no Timesheet em um lançamento de honorário:</w:t>
      </w:r>
    </w:p>
    <w:p>
      <w:pPr>
        <w:spacing w:after="60"/>
        <w:ind w:left="360"/>
      </w:pPr>
      <w:r>
        <w:rPr>
          <w:b/>
          <w:bCs/>
        </w:rPr>
        <w:t xml:space="preserve">1. </w:t>
      </w:r>
      <w:r>
        <w:t xml:space="preserve">Em Financeiro, clique em "Gerar cobrança a partir de horas" (ou no link "gerar cobrança" ao lado do apontamento, na tela de Timesheet).</w:t>
      </w:r>
    </w:p>
    <w:p>
      <w:pPr>
        <w:spacing w:after="60"/>
        <w:ind w:left="360"/>
      </w:pPr>
      <w:r>
        <w:rPr>
          <w:b/>
          <w:bCs/>
        </w:rPr>
        <w:t xml:space="preserve">2. </w:t>
      </w:r>
      <w:r>
        <w:t xml:space="preserve">Escolha o processo; o sistema lista as horas faturáveis daquele processo ainda não cobradas, todas pré-marcadas.</w:t>
      </w:r>
    </w:p>
    <w:p>
      <w:pPr>
        <w:spacing w:after="60"/>
        <w:ind w:left="360"/>
      </w:pPr>
      <w:r>
        <w:rPr>
          <w:b/>
          <w:bCs/>
        </w:rPr>
        <w:t xml:space="preserve">3. </w:t>
      </w:r>
      <w:r>
        <w:t xml:space="preserve">Confira o valor sugerido (calculado pelo valor/hora do cliente, se cadastrado — sempre editável), a descrição, a data de vencimento e desmarque o que não quiser incluir.</w:t>
      </w:r>
    </w:p>
    <w:p>
      <w:pPr>
        <w:spacing w:after="60"/>
        <w:ind w:left="360"/>
      </w:pPr>
      <w:r>
        <w:rPr>
          <w:b/>
          <w:bCs/>
        </w:rPr>
        <w:t xml:space="preserve">4. </w:t>
      </w:r>
      <w:r>
        <w:t xml:space="preserve">Clique em "Gerar cobrança": um novo lançamento de receita é criado e as horas selecionadas passam a aparecer como faturadas no Timesheet.</w:t>
      </w:r>
    </w:p>
    <w:p>
      <w:pPr>
        <w:pStyle w:val="Heading3"/>
        <w:spacing w:after="100" w:before="220"/>
      </w:pPr>
      <w:bookmarkStart w:name="bm45" w:id="1"/>
      <w:r>
        <w:t xml:space="preserve">Aprovações pendentes (alçada de aprovação)</w:t>
      </w:r>
      <w:bookmarkEnd w:id="1"/>
    </w:p>
    <w:p>
      <w:pPr>
        <w:spacing w:after="140"/>
      </w:pPr>
      <w:r>
        <w:t xml:space="preserve">Se o escritório tiver configurado limites de alçada (seção 5.6), despesas acima desses valores precisam ser aprovadas antes de poderem ser marcadas como pagas. O link "Aprovações pendentes", no topo da listagem, mostra quantas despesas aguardam aprovação e permite aprovar (com um comentário opcional) ou rejeitar (informando o motivo) cada uma. Quem lançou a despesa nunca pode aprová-la; quando são exigidas duas aprovações, precisam vir de pessoas diferentes.</w:t>
      </w:r>
    </w:p>
    <w:p>
      <w:pPr>
        <w:shd w:fill="F2F2F2" w:val="clear"/>
        <w:spacing w:after="200"/>
      </w:pPr>
      <w:r>
        <w:rPr>
          <w:b/>
          <w:bCs/>
          <w:i/>
          <w:iCs/>
        </w:rPr>
        <w:t xml:space="preserve">Quem pode usar: </w:t>
      </w:r>
      <w:r>
        <w:rPr>
          <w:i/>
          <w:iCs/>
        </w:rPr>
        <w:t xml:space="preserve">acesso ao módulo Financeiro: administrador, gestor, ou quem tiver a concessão individual de acesso financeiro. Aprovar/rejeitar despesas: administrador ou gestor.</w:t>
      </w:r>
    </w:p>
    <w:p>
      <w:pPr>
        <w:pStyle w:val="Heading2"/>
        <w:spacing w:after="140" w:before="320"/>
      </w:pPr>
      <w:bookmarkStart w:name="bm46" w:id="1"/>
      <w:r>
        <w:t xml:space="preserve">3.8 Captação de clientes (Leads)</w:t>
      </w:r>
      <w:bookmarkEnd w:id="1"/>
    </w:p>
    <w:p>
      <w:pPr>
        <w:spacing w:after="140"/>
      </w:pPr>
      <w:r>
        <w:t xml:space="preserve">Um quadro (kanban) para acompanhar contatos que ainda não são clientes — quem ligou, mandou mensagem ou foi indicado — até a conversão em cliente efetivo. As etapas são: Novo contato, Qualificando, Proposta enviada, e por fim Convertido em cliente ou Perdido.</w:t>
      </w:r>
    </w:p>
    <w:p>
      <w:pPr>
        <w:pStyle w:val="Heading3"/>
        <w:spacing w:after="100" w:before="220"/>
      </w:pPr>
      <w:bookmarkStart w:name="bm47" w:id="1"/>
      <w:r>
        <w:t xml:space="preserve">Cadastrar um lead</w:t>
      </w:r>
      <w:bookmarkEnd w:id="1"/>
    </w:p>
    <w:p>
      <w:pPr>
        <w:spacing w:after="140"/>
      </w:pPr>
      <w:r>
        <w:t xml:space="preserve">Informe nome, telefone, WhatsApp, e-mail, área de interesse, origem do contato (indicação, site, WhatsApp, telefone, redes sociais ou outro), valor estimado da causa e responsável.</w:t>
      </w:r>
    </w:p>
    <w:p>
      <w:pPr>
        <w:pStyle w:val="Heading3"/>
        <w:spacing w:after="100" w:before="220"/>
      </w:pPr>
      <w:bookmarkStart w:name="bm48" w:id="1"/>
      <w:r>
        <w:t xml:space="preserve">Mover de etapa e converter</w:t>
      </w:r>
      <w:bookmarkEnd w:id="1"/>
    </w:p>
    <w:p>
      <w:pPr>
        <w:spacing w:after="140"/>
      </w:pPr>
      <w:r>
        <w:t xml:space="preserve">Na tela de detalhe do lead, use "Mover para" para escolher a nova etapa (ao marcar "Perdido", informe o motivo). Quando o negócio evolui, o botão "Converter em cliente" cria automaticamente o cadastro de cliente a partir dos dados já coletados no lead, mantendo o vínculo para rastrear a origem — depois é só completar CPF/CNPJ e endereço na tela do novo cliente.</w:t>
      </w:r>
    </w:p>
    <w:p>
      <w:pPr>
        <w:shd w:fill="F2F2F2" w:val="clear"/>
        <w:spacing w:after="200"/>
      </w:pPr>
      <w:r>
        <w:rPr>
          <w:b/>
          <w:bCs/>
          <w:i/>
          <w:iCs/>
        </w:rPr>
        <w:t xml:space="preserve">Quem pode usar: </w:t>
      </w:r>
      <w:r>
        <w:rPr>
          <w:i/>
          <w:iCs/>
        </w:rPr>
        <w:t xml:space="preserve">qualquer usuário autenticado, dentro do próprio escopo de unidade.</w:t>
      </w:r>
    </w:p>
    <w:p>
      <w:pPr>
        <w:pStyle w:val="Heading2"/>
        <w:spacing w:after="140" w:before="320"/>
      </w:pPr>
      <w:bookmarkStart w:name="bm49" w:id="1"/>
      <w:r>
        <w:t xml:space="preserve">3.9 Agente de IA (chat)</w:t>
      </w:r>
      <w:bookmarkEnd w:id="1"/>
    </w:p>
    <w:p>
      <w:pPr>
        <w:spacing w:after="140"/>
      </w:pPr>
      <w:r>
        <w:t xml:space="preserve">Um assistente de conversa que responde com base em dados reais do próprio escritório (nunca dados inventados ou de outra empresa), organizado em três perfis de pergunta:</w:t>
      </w:r>
    </w:p>
    <w:p>
      <w:pPr>
        <w:pStyle w:val="ListParagraph"/>
        <w:numPr>
          <w:ilvl w:val="0"/>
          <w:numId w:val="1"/>
        </w:numPr>
        <w:spacing w:after="60"/>
      </w:pPr>
      <w:r>
        <w:t xml:space="preserve">Agente de Operação — prazos vencendo nos próximos 7 dias e tarefas atrasadas.</w:t>
      </w:r>
    </w:p>
    <w:p>
      <w:pPr>
        <w:pStyle w:val="ListParagraph"/>
        <w:numPr>
          <w:ilvl w:val="0"/>
          <w:numId w:val="1"/>
        </w:numPr>
        <w:spacing w:after="60"/>
      </w:pPr>
      <w:r>
        <w:t xml:space="preserve">Agente de Gestão — processos ativos, processos parados há mais de 30 dias, taxa de cumprimento de prazos e processos não monitoráveis.</w:t>
      </w:r>
    </w:p>
    <w:p>
      <w:pPr>
        <w:pStyle w:val="ListParagraph"/>
        <w:numPr>
          <w:ilvl w:val="0"/>
          <w:numId w:val="1"/>
        </w:numPr>
        <w:spacing w:after="60"/>
      </w:pPr>
      <w:r>
        <w:t xml:space="preserve">Agente de Negócios — distribuição da carteira por área do direito, clientes ativos e receita a receber ou já vencida.</w:t>
      </w:r>
    </w:p>
    <w:p>
      <w:pPr>
        <w:spacing w:after="140"/>
      </w:pPr>
      <w:r>
        <w:t xml:space="preserve">Para conversar, escolha um dos perfis e clique em "Nova conversa", depois digite a pergunta e envie. A resposta pode levar alguns instantes (a tela se atualiza sozinha enquanto gera). O rodapé do chat sempre mostra qual mecanismo de IA está respondendo. Conversas anteriores ficam salvas em "Suas conversas" e podem ser reabertas ou excluídas.</w:t>
      </w:r>
    </w:p>
    <w:p>
      <w:pPr>
        <w:pBdr>
          <w:left w:val="single" w:color="8E8E8E" w:sz="18" w:space="8"/>
        </w:pBdr>
        <w:spacing w:after="200" w:before="100"/>
        <w:ind w:left="120"/>
      </w:pPr>
      <w:r>
        <w:rPr>
          <w:b/>
          <w:bCs/>
        </w:rPr>
        <w:t xml:space="preserve">Aviso permanente — </w:t>
      </w:r>
      <w:r>
        <w:t xml:space="preserve">as respostas usam dados reais do escritório, mas não substituem a análise jurídica de um profissional.</w:t>
      </w:r>
    </w:p>
    <w:p>
      <w:pPr>
        <w:shd w:fill="F2F2F2" w:val="clear"/>
        <w:spacing w:after="200"/>
      </w:pPr>
      <w:r>
        <w:rPr>
          <w:b/>
          <w:bCs/>
          <w:i/>
          <w:iCs/>
        </w:rPr>
        <w:t xml:space="preserve">Quem pode usar: </w:t>
      </w:r>
      <w:r>
        <w:rPr>
          <w:i/>
          <w:iCs/>
        </w:rPr>
        <w:t xml:space="preserve">perfis Operação e Gestão: qualquer usuário autenticado. Perfil Negócios (expõe dados de receita): apenas quem tem acesso ao Financeiro.</w:t>
      </w:r>
    </w:p>
    <w:p>
      <w:pPr>
        <w:pStyle w:val="Heading2"/>
        <w:spacing w:after="140" w:before="320"/>
      </w:pPr>
      <w:bookmarkStart w:name="bm50" w:id="1"/>
      <w:r>
        <w:t xml:space="preserve">3.10 Meu agente local</w:t>
      </w:r>
      <w:bookmarkEnd w:id="1"/>
    </w:p>
    <w:p>
      <w:pPr>
        <w:spacing w:after="140"/>
      </w:pPr>
      <w:r>
        <w:t xml:space="preserve">É um pequeno programa instalado no seu próprio computador, usado para baixar os autos completos e o histórico integral de um processo direto do sistema do tribunal, com o seu certificado digital — o certificado nunca sai da sua máquina nem chega ao servidor do sistema; o programa autentica sozinho no tribunal e envia apenas o PDF pronto.</w:t>
      </w:r>
    </w:p>
    <w:p>
      <w:pPr>
        <w:pStyle w:val="Heading3"/>
        <w:spacing w:after="100" w:before="220"/>
      </w:pPr>
      <w:bookmarkStart w:name="bm51" w:id="1"/>
      <w:r>
        <w:t xml:space="preserve">Instalar e parear</w:t>
      </w:r>
      <w:bookmarkEnd w:id="1"/>
    </w:p>
    <w:p>
      <w:pPr>
        <w:spacing w:after="60"/>
        <w:ind w:left="360"/>
      </w:pPr>
      <w:r>
        <w:rPr>
          <w:b/>
          <w:bCs/>
        </w:rPr>
        <w:t xml:space="preserve">1. </w:t>
      </w:r>
      <w:r>
        <w:t xml:space="preserve">Em "Meu agente local", clique em "Baixar agente local" (ou siga as instruções de instalação manual, se indicado na tela).</w:t>
      </w:r>
    </w:p>
    <w:p>
      <w:pPr>
        <w:spacing w:after="60"/>
        <w:ind w:left="360"/>
      </w:pPr>
      <w:r>
        <w:rPr>
          <w:b/>
          <w:bCs/>
        </w:rPr>
        <w:t xml:space="preserve">2. </w:t>
      </w:r>
      <w:r>
        <w:t xml:space="preserve">Clique em "Parear novo agente" e, se quiser, dê um apelido (por exemplo, "Notebook do escritório").</w:t>
      </w:r>
    </w:p>
    <w:p>
      <w:pPr>
        <w:spacing w:after="60"/>
        <w:ind w:left="360"/>
      </w:pPr>
      <w:r>
        <w:rPr>
          <w:b/>
          <w:bCs/>
        </w:rPr>
        <w:t xml:space="preserve">3. </w:t>
      </w:r>
      <w:r>
        <w:t xml:space="preserve">Copie o token exibido — ele só aparece uma vez — e cole no arquivo de configuração do programa instalado.</w:t>
      </w:r>
    </w:p>
    <w:p>
      <w:pPr>
        <w:spacing w:after="60"/>
        <w:ind w:left="360"/>
      </w:pPr>
      <w:r>
        <w:rPr>
          <w:b/>
          <w:bCs/>
        </w:rPr>
        <w:t xml:space="preserve">4. </w:t>
      </w:r>
      <w:r>
        <w:t xml:space="preserve">O programa passa a rodar em segundo plano no seu computador, iniciando junto com ele.</w:t>
      </w:r>
    </w:p>
    <w:p>
      <w:pPr>
        <w:spacing w:after="140"/>
      </w:pPr>
      <w:r>
        <w:t xml:space="preserve">Você pode ter mais de um pareamento (um por computador). Cada um mostra apelido, data de criação, última vez visto e status; use "Revogar" para desligar um pareamento a qualquer momento — o programa instalado com aquele token para de funcionar na hora.</w:t>
      </w:r>
    </w:p>
    <w:p>
      <w:pPr>
        <w:pBdr>
          <w:left w:val="single" w:color="8E8E8E" w:sz="18" w:space="8"/>
        </w:pBdr>
        <w:spacing w:after="200" w:before="100"/>
        <w:ind w:left="120"/>
      </w:pPr>
      <w:r>
        <w:rPr>
          <w:b/>
          <w:bCs/>
        </w:rPr>
        <w:t xml:space="preserve">Recurso em fase piloto — </w:t>
      </w:r>
      <w:r>
        <w:t xml:space="preserve">hoje só o conector do PJe está disponível para busca automática; os demais tribunais aparecem como próximos passos do produto.</w:t>
      </w:r>
    </w:p>
    <w:p>
      <w:pPr>
        <w:shd w:fill="F2F2F2" w:val="clear"/>
        <w:spacing w:after="200"/>
      </w:pPr>
      <w:r>
        <w:rPr>
          <w:b/>
          <w:bCs/>
          <w:i/>
          <w:iCs/>
        </w:rPr>
        <w:t xml:space="preserve">Quem pode usar: </w:t>
      </w:r>
      <w:r>
        <w:rPr>
          <w:i/>
          <w:iCs/>
        </w:rPr>
        <w:t xml:space="preserve">cada usuário gerencia apenas os próprios pareamentos — o certificado digital é pessoal, do advogado, não do escritório.</w:t>
      </w:r>
    </w:p>
    <w:p>
      <w:pPr>
        <w:pStyle w:val="Heading1"/>
        <w:pageBreakBefore/>
        <w:spacing w:after="240" w:before="0"/>
      </w:pPr>
      <w:bookmarkStart w:name="bm52" w:id="1"/>
      <w:r>
        <w:t xml:space="preserve">4. Governança de carteira</w:t>
      </w:r>
      <w:bookmarkEnd w:id="1"/>
    </w:p>
    <w:p>
      <w:pPr>
        <w:spacing w:after="140"/>
      </w:pPr>
      <w:r>
        <w:t xml:space="preserve">Este é um conjunto de ferramentas de gestão da carteira inteira de processos, contratado à parte (módulo opcional). Se os itens deste capítulo não aparecerem no seu menu, consulte "Minha licença &gt; Módulos" ou fale com o administrador do escritório.</w:t>
      </w:r>
    </w:p>
    <w:p>
      <w:pPr>
        <w:pStyle w:val="Heading2"/>
        <w:spacing w:after="140" w:before="320"/>
      </w:pPr>
      <w:bookmarkStart w:name="bm53" w:id="1"/>
      <w:r>
        <w:t xml:space="preserve">4.1 Painel de governança</w:t>
      </w:r>
      <w:bookmarkEnd w:id="1"/>
    </w:p>
    <w:p>
      <w:pPr>
        <w:spacing w:after="140"/>
      </w:pPr>
      <w:r>
        <w:t xml:space="preserve">Uma visão consolidada da carteira: prazos vencendo em 7 e em 15 dias, prazos vencidos, processos parados há 30, 60 ou 90 dias, distribuição por fase/área/unidade, exposição financeira por fase e por risco, movimentações críticas das últimas 24 horas e a lista de processos não monitoráveis automaticamente.</w:t>
      </w:r>
    </w:p>
    <w:p>
      <w:pPr>
        <w:pStyle w:val="Heading2"/>
        <w:spacing w:after="140" w:before="320"/>
      </w:pPr>
      <w:bookmarkStart w:name="bm54" w:id="1"/>
      <w:r>
        <w:t xml:space="preserve">4.2 Fila de intimações</w:t>
      </w:r>
      <w:bookmarkEnd w:id="1"/>
    </w:p>
    <w:p>
      <w:pPr>
        <w:spacing w:after="140"/>
      </w:pPr>
      <w:r>
        <w:t xml:space="preserve">Lista, em ordem de prioridade, todos os prazos em aberto do seu escopo — pensada como a fila de trabalho do dia.</w:t>
      </w:r>
    </w:p>
    <w:p>
      <w:pPr>
        <w:pStyle w:val="Heading2"/>
        <w:spacing w:after="140" w:before="320"/>
      </w:pPr>
      <w:bookmarkStart w:name="bm55" w:id="1"/>
      <w:r>
        <w:t xml:space="preserve">4.3 Métricas</w:t>
      </w:r>
      <w:bookmarkEnd w:id="1"/>
    </w:p>
    <w:p>
      <w:pPr>
        <w:spacing w:after="140"/>
      </w:pPr>
      <w:r>
        <w:t xml:space="preserve">Indicadores da carteira: taxa de cumprimento de prazos, tempo médio entre a publicação e o protocolo, idade média dos processos, cobertura de monitoramento automático, saúde das capturas dos últimos 7 dias, taxa de sucesso (ganho + acordo) e tempo médio de duração dos casos já encerrados.</w:t>
      </w:r>
    </w:p>
    <w:p>
      <w:pPr>
        <w:pStyle w:val="Heading2"/>
        <w:spacing w:after="140" w:before="320"/>
      </w:pPr>
      <w:bookmarkStart w:name="bm56" w:id="1"/>
      <w:r>
        <w:t xml:space="preserve">4.4 Produtividade por advogado</w:t>
      </w:r>
      <w:bookmarkEnd w:id="1"/>
    </w:p>
    <w:p>
      <w:pPr>
        <w:spacing w:after="140"/>
      </w:pPr>
      <w:r>
        <w:t xml:space="preserve">Um ranking por usuário, com prazos cumpridos e perdidos, tarefas concluídas e atrasadas, e horas apontadas no período.</w:t>
      </w:r>
    </w:p>
    <w:p>
      <w:pPr>
        <w:pStyle w:val="Heading2"/>
        <w:spacing w:after="140" w:before="320"/>
      </w:pPr>
      <w:bookmarkStart w:name="bm57" w:id="1"/>
      <w:r>
        <w:t xml:space="preserve">4.5 Contingenciamento jurídico</w:t>
      </w:r>
      <w:bookmarkEnd w:id="1"/>
    </w:p>
    <w:p>
      <w:pPr>
        <w:spacing w:after="140"/>
      </w:pPr>
      <w:r>
        <w:t xml:space="preserve">Mostra a provisão financeira estimada para os processos, cruzando a classificação de risco (provável, possível, remoto) com o valor da causa de cada um.</w:t>
      </w:r>
    </w:p>
    <w:p>
      <w:pPr>
        <w:pStyle w:val="Heading2"/>
        <w:spacing w:after="140" w:before="320"/>
      </w:pPr>
      <w:bookmarkStart w:name="bm58" w:id="1"/>
      <w:r>
        <w:t xml:space="preserve">4.6 Cadastro de processo por número CNJ</w:t>
      </w:r>
      <w:bookmarkEnd w:id="1"/>
    </w:p>
    <w:p>
      <w:pPr>
        <w:spacing w:after="140"/>
      </w:pPr>
      <w:r>
        <w:t xml:space="preserve">Uma versão enxuta do cadastro de processo (seção 3.3.1), focada só em número CNJ, cliente e área do direito — o sistema cria o registro com esses dados mínimos e completa o restante automaticamente, buscando nos sistemas dos tribunais.</w:t>
      </w:r>
    </w:p>
    <w:p>
      <w:pPr>
        <w:pStyle w:val="Heading2"/>
        <w:spacing w:after="140" w:before="320"/>
      </w:pPr>
      <w:bookmarkStart w:name="bm59" w:id="1"/>
      <w:r>
        <w:t xml:space="preserve">4.7 Importação em lote de processos</w:t>
      </w:r>
      <w:bookmarkEnd w:id="1"/>
    </w:p>
    <w:p>
      <w:pPr>
        <w:spacing w:after="140"/>
      </w:pPr>
      <w:r>
        <w:t xml:space="preserve">Permite cadastrar vários processos de uma vez a partir de uma planilha (.csv) com um número CNJ por linha, todos vinculados ao mesmo cliente e área do direito:</w:t>
      </w:r>
    </w:p>
    <w:p>
      <w:pPr>
        <w:spacing w:after="60"/>
        <w:ind w:left="360"/>
      </w:pPr>
      <w:r>
        <w:rPr>
          <w:b/>
          <w:bCs/>
        </w:rPr>
        <w:t xml:space="preserve">1. </w:t>
      </w:r>
      <w:r>
        <w:t xml:space="preserve">Selecione o arquivo .csv, o cliente e a área do direito.</w:t>
      </w:r>
    </w:p>
    <w:p>
      <w:pPr>
        <w:spacing w:after="60"/>
        <w:ind w:left="360"/>
      </w:pPr>
      <w:r>
        <w:rPr>
          <w:b/>
          <w:bCs/>
        </w:rPr>
        <w:t xml:space="preserve">2. </w:t>
      </w:r>
      <w:r>
        <w:t xml:space="preserve">Clique em "Importar" — o processamento pode demorar um pouco em lotes grandes.</w:t>
      </w:r>
    </w:p>
    <w:p>
      <w:pPr>
        <w:spacing w:after="60"/>
        <w:ind w:left="360"/>
      </w:pPr>
      <w:r>
        <w:rPr>
          <w:b/>
          <w:bCs/>
        </w:rPr>
        <w:t xml:space="preserve">3. </w:t>
      </w:r>
      <w:r>
        <w:t xml:space="preserve">Ao final, a tela de resultado mostra, linha a linha, quais números foram cadastrados e quais falharam (com o motivo), sem nunca ignorar um erro silenciosamente.</w:t>
      </w:r>
    </w:p>
    <w:p>
      <w:pPr>
        <w:spacing w:after="140"/>
      </w:pPr>
      <w:r>
        <w:t xml:space="preserve">Todos os processos importados entram como "não monitorável automaticamente"; use "Buscar processo" individualmente depois para tentar capturar os dados.</w:t>
      </w:r>
    </w:p>
    <w:p>
      <w:pPr>
        <w:pStyle w:val="Heading2"/>
        <w:spacing w:after="140" w:before="320"/>
      </w:pPr>
      <w:bookmarkStart w:name="bm60" w:id="1"/>
      <w:r>
        <w:t xml:space="preserve">4.8 Mapa de estado</w:t>
      </w:r>
      <w:bookmarkEnd w:id="1"/>
    </w:p>
    <w:p>
      <w:pPr>
        <w:spacing w:after="140"/>
      </w:pPr>
      <w:r>
        <w:t xml:space="preserve">Cada tipo de movimentação processual capturada tem um código padronizado do CNJ (chamado TPU). Esta tela mapeia esse código — ou um trecho do texto do andamento, quando não há código — para um "estado de negócio" em linguagem simples (por exemplo, "Citado / prazo de resposta"). O bloco "Fila de triagem", no topo da tela, agrupa as movimentações capturadas que ainda não têm mapeamento, com o botão "Mapear agora" para cadastrar o mapeamento direto a partir de um exemplo real.</w:t>
      </w:r>
    </w:p>
    <w:p>
      <w:pPr>
        <w:spacing w:after="140"/>
      </w:pPr>
      <w:r>
        <w:t xml:space="preserve">Nesta mesma área fica "Regras de próxima ação": para cada tipo de ato capturado, você cadastra qual ação é exigida e o prazo padrão (em dias úteis ou corridos) — quando um ato desse tipo é capturado, o prazo correspondente já é gerado automaticamente.</w:t>
      </w:r>
    </w:p>
    <w:p>
      <w:pPr>
        <w:shd w:fill="F2F2F2" w:val="clear"/>
        <w:spacing w:after="200"/>
      </w:pPr>
      <w:r>
        <w:rPr>
          <w:b/>
          <w:bCs/>
          <w:i/>
          <w:iCs/>
        </w:rPr>
        <w:t xml:space="preserve">Quem pode usar: </w:t>
      </w:r>
      <w:r>
        <w:rPr>
          <w:i/>
          <w:iCs/>
        </w:rPr>
        <w:t xml:space="preserve">exclusivo de administradores.</w:t>
      </w:r>
    </w:p>
    <w:p>
      <w:pPr>
        <w:pStyle w:val="Heading2"/>
        <w:spacing w:after="140" w:before="320"/>
      </w:pPr>
      <w:bookmarkStart w:name="bm61" w:id="1"/>
      <w:r>
        <w:t xml:space="preserve">4.9 Verificação de conflitos</w:t>
      </w:r>
      <w:bookmarkEnd w:id="1"/>
    </w:p>
    <w:p>
      <w:pPr>
        <w:spacing w:after="140"/>
      </w:pPr>
      <w:r>
        <w:t xml:space="preserve">Faz uma varredura em toda a carteira do escritório em busca do conflito mais comum: um cliente que também aparece como parte contrária em outro processo. O resultado mostra, para cada cliente com conflito, os processos de outros clientes onde ele aparece do lado oposto.</w:t>
      </w:r>
    </w:p>
    <w:p>
      <w:pPr>
        <w:shd w:fill="F2F2F2" w:val="clear"/>
        <w:spacing w:after="200"/>
      </w:pPr>
      <w:r>
        <w:rPr>
          <w:b/>
          <w:bCs/>
          <w:i/>
          <w:iCs/>
        </w:rPr>
        <w:t xml:space="preserve">Quem pode usar: </w:t>
      </w:r>
      <w:r>
        <w:rPr>
          <w:i/>
          <w:iCs/>
        </w:rPr>
        <w:t xml:space="preserve">exclusivo de administradores.</w:t>
      </w:r>
    </w:p>
    <w:p>
      <w:pPr>
        <w:pStyle w:val="Heading2"/>
        <w:spacing w:after="140" w:before="320"/>
      </w:pPr>
      <w:bookmarkStart w:name="bm62" w:id="1"/>
      <w:r>
        <w:t xml:space="preserve">4.10 Captação por OAB</w:t>
      </w:r>
      <w:bookmarkEnd w:id="1"/>
    </w:p>
    <w:p>
      <w:pPr>
        <w:spacing w:after="140"/>
      </w:pPr>
      <w:r>
        <w:t xml:space="preserve">Captura automaticamente, a partir das OABs cadastradas do escritório, as intimações e publicações oficiais (via Diário de Justiça Eletrônico Nacional) — sem precisar já saber o número do processo.</w:t>
      </w:r>
    </w:p>
    <w:p>
      <w:pPr>
        <w:pStyle w:val="Heading3"/>
        <w:spacing w:after="100" w:before="220"/>
      </w:pPr>
      <w:bookmarkStart w:name="bm63" w:id="1"/>
      <w:r>
        <w:t xml:space="preserve">Cadastrar OABs monitoradas</w:t>
      </w:r>
      <w:bookmarkEnd w:id="1"/>
    </w:p>
    <w:p>
      <w:pPr>
        <w:spacing w:after="140"/>
      </w:pPr>
      <w:r>
        <w:t xml:space="preserve">Informe número da OAB, UF, nome do advogado e, se quiser, o usuário responsável e a unidade. As capturas rodam automaticamente e periodicamente; a tela mostra a data da última captura e o status de cada OAB (ativa/inativa).</w:t>
      </w:r>
    </w:p>
    <w:p>
      <w:pPr>
        <w:pStyle w:val="Heading3"/>
        <w:spacing w:after="100" w:before="220"/>
      </w:pPr>
      <w:bookmarkStart w:name="bm64" w:id="1"/>
      <w:r>
        <w:t xml:space="preserve">Triagem de intimações</w:t>
      </w:r>
      <w:bookmarkEnd w:id="1"/>
    </w:p>
    <w:p>
      <w:pPr>
        <w:spacing w:after="140"/>
      </w:pPr>
      <w:r>
        <w:t xml:space="preserve">Quando uma publicação capturada bate com exatamente um processo já cadastrado, o sistema vincula sozinho, sem intervenção. Quando não há certeza (nenhum ou mais de um processo parecido), a intimação cai numa fila de triagem, indicada por um contador no menu. Para cada item da fila, você pode:</w:t>
      </w:r>
    </w:p>
    <w:p>
      <w:pPr>
        <w:pStyle w:val="ListParagraph"/>
        <w:numPr>
          <w:ilvl w:val="0"/>
          <w:numId w:val="1"/>
        </w:numPr>
        <w:spacing w:after="60"/>
      </w:pPr>
      <w:r>
        <w:t xml:space="preserve">Vincular a um processo já cadastrado (o sistema sugere candidatos pelo número parecido).</w:t>
      </w:r>
    </w:p>
    <w:p>
      <w:pPr>
        <w:pStyle w:val="ListParagraph"/>
        <w:numPr>
          <w:ilvl w:val="0"/>
          <w:numId w:val="1"/>
        </w:numPr>
        <w:spacing w:after="60"/>
      </w:pPr>
      <w:r>
        <w:t xml:space="preserve">Cadastrar como processo novo, levando direto ao cadastro por CNJ com os dados já preenchidos.</w:t>
      </w:r>
    </w:p>
    <w:p>
      <w:pPr>
        <w:pStyle w:val="ListParagraph"/>
        <w:numPr>
          <w:ilvl w:val="0"/>
          <w:numId w:val="1"/>
        </w:numPr>
        <w:spacing w:after="60"/>
      </w:pPr>
      <w:r>
        <w:t xml:space="preserve">Ignorar, informando o motivo (fica registrado).</w:t>
      </w:r>
    </w:p>
    <w:p>
      <w:pPr>
        <w:shd w:fill="F2F2F2" w:val="clear"/>
        <w:spacing w:after="200"/>
      </w:pPr>
      <w:r>
        <w:rPr>
          <w:b/>
          <w:bCs/>
          <w:i/>
          <w:iCs/>
        </w:rPr>
        <w:t xml:space="preserve">Quem pode usar: </w:t>
      </w:r>
      <w:r>
        <w:rPr>
          <w:i/>
          <w:iCs/>
        </w:rPr>
        <w:t xml:space="preserve">qualquer usuário autenticado, dentro do próprio escopo de unidade.</w:t>
      </w:r>
    </w:p>
    <w:p>
      <w:pPr>
        <w:pStyle w:val="Heading2"/>
        <w:spacing w:after="140" w:before="320"/>
      </w:pPr>
      <w:bookmarkStart w:name="bm65" w:id="1"/>
      <w:r>
        <w:t xml:space="preserve">4.11 Relatório semanal e exportação de dados</w:t>
      </w:r>
      <w:bookmarkEnd w:id="1"/>
    </w:p>
    <w:p>
      <w:pPr>
        <w:spacing w:after="140"/>
      </w:pPr>
      <w:r>
        <w:t xml:space="preserve">A prévia do relatório semanal mostra o conteúdo que seria enviado por e-mail à equipe. A exportação em CSV permite baixar processos, movimentações, decisões ou prazos para uso em planilhas ou ferramentas externas de análise.</w:t>
      </w:r>
    </w:p>
    <w:p>
      <w:pPr>
        <w:pStyle w:val="Heading1"/>
        <w:pageBreakBefore/>
        <w:spacing w:after="240" w:before="0"/>
      </w:pPr>
      <w:bookmarkStart w:name="bm66" w:id="1"/>
      <w:r>
        <w:t xml:space="preserve">5. Configurações</w:t>
      </w:r>
      <w:bookmarkEnd w:id="1"/>
    </w:p>
    <w:p>
      <w:pPr>
        <w:pStyle w:val="Heading2"/>
        <w:spacing w:after="140" w:before="320"/>
      </w:pPr>
      <w:bookmarkStart w:name="bm67" w:id="1"/>
      <w:r>
        <w:t xml:space="preserve">5.1 Minha conta</w:t>
      </w:r>
      <w:bookmarkEnd w:id="1"/>
    </w:p>
    <w:p>
      <w:pPr>
        <w:spacing w:after="140"/>
      </w:pPr>
      <w:r>
        <w:t xml:space="preserve">Reúne suas preferências pessoais (seção 2.4) e a configuração do autenticador de dois fatores (seção 2.2).</w:t>
      </w:r>
    </w:p>
    <w:p>
      <w:pPr>
        <w:pStyle w:val="Heading2"/>
        <w:spacing w:after="140" w:before="320"/>
      </w:pPr>
      <w:bookmarkStart w:name="bm68" w:id="1"/>
      <w:r>
        <w:t xml:space="preserve">5.2 Equipe</w:t>
      </w:r>
      <w:bookmarkEnd w:id="1"/>
    </w:p>
    <w:p>
      <w:pPr>
        <w:spacing w:after="140"/>
      </w:pPr>
      <w:r>
        <w:t xml:space="preserve">Gerencia os usuários do escritório.</w:t>
      </w:r>
    </w:p>
    <w:p>
      <w:pPr>
        <w:pStyle w:val="Heading3"/>
        <w:spacing w:after="100" w:before="220"/>
      </w:pPr>
      <w:bookmarkStart w:name="bm69" w:id="1"/>
      <w:r>
        <w:t xml:space="preserve">Convidar um novo usuário</w:t>
      </w:r>
      <w:bookmarkEnd w:id="1"/>
    </w:p>
    <w:p>
      <w:pPr>
        <w:spacing w:after="140"/>
      </w:pPr>
      <w:r>
        <w:t xml:space="preserve">Informe nome, e-mail, papel, unidade, OAB, telefone, WhatsApp e senha inicial. É possível já marcar "Acesso a dados financeiros" para conceder visão do Financeiro a quem não é administrador nem gestor. Um gestor só consegue cadastrar usuários com papel de advogado ou funcionário, sempre na própria unidade; um administrador pode cadastrar qualquer papel e escolher a unidade.</w:t>
      </w:r>
    </w:p>
    <w:p>
      <w:pPr>
        <w:pStyle w:val="Heading3"/>
        <w:spacing w:after="100" w:before="220"/>
      </w:pPr>
      <w:bookmarkStart w:name="bm70" w:id="1"/>
      <w:r>
        <w:t xml:space="preserve">Editar um usuário</w:t>
      </w:r>
      <w:bookmarkEnd w:id="1"/>
    </w:p>
    <w:p>
      <w:pPr>
        <w:spacing w:after="140"/>
      </w:pPr>
      <w:r>
        <w:t xml:space="preserve">Permite atualizar dados cadastrais, conceder/remover acesso financeiro, definir uma nova senha e ativar/desativar o usuário. A tela mostra se o autenticador de dois fatores já foi configurado e, se sim, oferece a opção "Resetar autenticador" — usada quando alguém perde o celular e não consegue mais logar sozinho. Só um administrador pode alterar papel e unidade.</w:t>
      </w:r>
    </w:p>
    <w:p>
      <w:pPr>
        <w:spacing w:after="140"/>
      </w:pPr>
      <w:r>
        <w:t xml:space="preserve">Se o usuário tiver processos, prazos, audiências, tarefas ou compromissos em aberto sob a responsabilidade dele, não é possível simplesmente desativá-lo por aqui — use "Desligar usuário".</w:t>
      </w:r>
    </w:p>
    <w:p>
      <w:pPr>
        <w:pStyle w:val="Heading3"/>
        <w:spacing w:after="100" w:before="220"/>
      </w:pPr>
      <w:bookmarkStart w:name="bm71" w:id="1"/>
      <w:r>
        <w:t xml:space="preserve">Desligar um usuário</w:t>
      </w:r>
      <w:bookmarkEnd w:id="1"/>
    </w:p>
    <w:p>
      <w:pPr>
        <w:spacing w:after="140"/>
      </w:pPr>
      <w:r>
        <w:t xml:space="preserve">Tela dedicada que mostra as pendências do usuário. Se houver, é preciso escolher um novo responsável (outro usuário ativo do mesmo escopo) — ao confirmar, todos os itens em aberto são automaticamente reatribuídos, e só então o usuário é desativado. Sem pendências, o desligamento é direto.</w:t>
      </w:r>
    </w:p>
    <w:p>
      <w:pPr>
        <w:shd w:fill="F2F2F2" w:val="clear"/>
        <w:spacing w:after="200"/>
      </w:pPr>
      <w:r>
        <w:rPr>
          <w:b/>
          <w:bCs/>
          <w:i/>
          <w:iCs/>
        </w:rPr>
        <w:t xml:space="preserve">Quem pode usar: </w:t>
      </w:r>
      <w:r>
        <w:rPr>
          <w:i/>
          <w:iCs/>
        </w:rPr>
        <w:t xml:space="preserve">listar/cadastrar/editar/desligar usuários: administrador ou gestor (gestor limitado à própria unidade e aos papéis advogado/funcionário).</w:t>
      </w:r>
    </w:p>
    <w:p>
      <w:pPr>
        <w:pStyle w:val="Heading2"/>
        <w:spacing w:after="140" w:before="320"/>
      </w:pPr>
      <w:bookmarkStart w:name="bm72" w:id="1"/>
      <w:r>
        <w:t xml:space="preserve">5.3 Unidades</w:t>
      </w:r>
      <w:bookmarkEnd w:id="1"/>
    </w:p>
    <w:p>
      <w:pPr>
        <w:spacing w:after="140"/>
      </w:pPr>
      <w:r>
        <w:t xml:space="preserve">Para escritórios com mais de uma filial. A tela lista código, nome, cidade/UF, responsável e status de cada unidade. O cadastro/edição inclui nome, código, endereço, cidade, UF, telefone, e-mail, responsável e se a unidade está ativa.</w:t>
      </w:r>
    </w:p>
    <w:p>
      <w:pPr>
        <w:shd w:fill="F2F2F2" w:val="clear"/>
        <w:spacing w:after="200"/>
      </w:pPr>
      <w:r>
        <w:rPr>
          <w:b/>
          <w:bCs/>
          <w:i/>
          <w:iCs/>
        </w:rPr>
        <w:t xml:space="preserve">Quem pode usar: </w:t>
      </w:r>
      <w:r>
        <w:rPr>
          <w:i/>
          <w:iCs/>
        </w:rPr>
        <w:t xml:space="preserve">exclusivo de administradores.</w:t>
      </w:r>
    </w:p>
    <w:p>
      <w:pPr>
        <w:pStyle w:val="Heading2"/>
        <w:spacing w:after="140" w:before="320"/>
      </w:pPr>
      <w:bookmarkStart w:name="bm73" w:id="1"/>
      <w:r>
        <w:t xml:space="preserve">5.4 Relatórios</w:t>
      </w:r>
      <w:bookmarkEnd w:id="1"/>
    </w:p>
    <w:p>
      <w:pPr>
        <w:spacing w:after="140"/>
      </w:pPr>
      <w:r>
        <w:t xml:space="preserve">Relatórios consolidados do escritório: desempenho por unidade (processos ativos e encerrados, clientes, receita recebida e pendente) e processos/financeiro por área do direito. Valores de "conta de terceiros" nunca entram nesses totais de receita.</w:t>
      </w:r>
    </w:p>
    <w:p>
      <w:pPr>
        <w:shd w:fill="F2F2F2" w:val="clear"/>
        <w:spacing w:after="200"/>
      </w:pPr>
      <w:r>
        <w:rPr>
          <w:b/>
          <w:bCs/>
          <w:i/>
          <w:iCs/>
        </w:rPr>
        <w:t xml:space="preserve">Quem pode usar: </w:t>
      </w:r>
      <w:r>
        <w:rPr>
          <w:i/>
          <w:iCs/>
        </w:rPr>
        <w:t xml:space="preserve">exclusivo de administradores.</w:t>
      </w:r>
    </w:p>
    <w:p>
      <w:pPr>
        <w:pStyle w:val="Heading2"/>
        <w:spacing w:after="140" w:before="320"/>
      </w:pPr>
      <w:bookmarkStart w:name="bm74" w:id="1"/>
      <w:r>
        <w:t xml:space="preserve">5.5 Auditoria</w:t>
      </w:r>
      <w:bookmarkEnd w:id="1"/>
    </w:p>
    <w:p>
      <w:pPr>
        <w:spacing w:after="140"/>
      </w:pPr>
      <w:r>
        <w:t xml:space="preserve">Um log de tudo o que acontece no sistema: data/hora, usuário, ação realizada, item afetado, detalhes, endereço IP e um identificador do dispositivo/navegador usado (o que ajuda a rastrear o histórico de acessos de um mesmo aparelho, mesmo quando o IP muda). É possível filtrar por usuário, período, IP ou por um dispositivo específico.</w:t>
      </w:r>
    </w:p>
    <w:p>
      <w:pPr>
        <w:shd w:fill="F2F2F2" w:val="clear"/>
        <w:spacing w:after="200"/>
      </w:pPr>
      <w:r>
        <w:rPr>
          <w:b/>
          <w:bCs/>
          <w:i/>
          <w:iCs/>
        </w:rPr>
        <w:t xml:space="preserve">Quem pode usar: </w:t>
      </w:r>
      <w:r>
        <w:rPr>
          <w:i/>
          <w:iCs/>
        </w:rPr>
        <w:t xml:space="preserve">exclusivo de administradores.</w:t>
      </w:r>
    </w:p>
    <w:p>
      <w:pPr>
        <w:pStyle w:val="Heading2"/>
        <w:spacing w:after="140" w:before="320"/>
      </w:pPr>
      <w:bookmarkStart w:name="bm75" w:id="1"/>
      <w:r>
        <w:t xml:space="preserve">5.6 Alçada de aprovação</w:t>
      </w:r>
      <w:bookmarkEnd w:id="1"/>
    </w:p>
    <w:p>
      <w:pPr>
        <w:spacing w:after="140"/>
      </w:pPr>
      <w:r>
        <w:t xml:space="preserve">Um recurso opcional de governança financeira: enquanto não configurado, nenhuma despesa exige aprovação. Para ativar, defina dois níveis de valor (em reais):</w:t>
      </w:r>
    </w:p>
    <w:p>
      <w:pPr>
        <w:pStyle w:val="ListParagraph"/>
        <w:numPr>
          <w:ilvl w:val="0"/>
          <w:numId w:val="1"/>
        </w:numPr>
        <w:spacing w:after="60"/>
      </w:pPr>
      <w:r>
        <w:t xml:space="preserve">Nível 1 — despesas acima desse valor passam a exigir 1 aprovação.</w:t>
      </w:r>
    </w:p>
    <w:p>
      <w:pPr>
        <w:pStyle w:val="ListParagraph"/>
        <w:numPr>
          <w:ilvl w:val="0"/>
          <w:numId w:val="1"/>
        </w:numPr>
        <w:spacing w:after="60"/>
      </w:pPr>
      <w:r>
        <w:t xml:space="preserve">Nível 2 (opcional, precisa ser maior que o Nível 1) — despesas acima desse valor passam a exigir 2 aprovações, de pessoas diferentes.</w:t>
      </w:r>
    </w:p>
    <w:p>
      <w:pPr>
        <w:spacing w:after="140"/>
      </w:pPr>
      <w:r>
        <w:t xml:space="preserve">Só administradores e gestores podem aprovar, quem lançou a despesa nunca pode aprová-la, e as duas aprovações do Nível 2 sempre precisam vir de pessoas diferentes. Receitas nunca exigem aprovação. O dia a dia de aprovar/rejeitar despesas pendentes acontece na tela "Aprovações pendentes", dentro do Financeiro (seção 3.7).</w:t>
      </w:r>
    </w:p>
    <w:p>
      <w:pPr>
        <w:shd w:fill="F2F2F2" w:val="clear"/>
        <w:spacing w:after="200"/>
      </w:pPr>
      <w:r>
        <w:rPr>
          <w:b/>
          <w:bCs/>
          <w:i/>
          <w:iCs/>
        </w:rPr>
        <w:t xml:space="preserve">Quem pode usar: </w:t>
      </w:r>
      <w:r>
        <w:rPr>
          <w:i/>
          <w:iCs/>
        </w:rPr>
        <w:t xml:space="preserve">configurar os limites: exclusivo de administradores.</w:t>
      </w:r>
    </w:p>
    <w:p>
      <w:pPr>
        <w:pStyle w:val="Heading2"/>
        <w:spacing w:after="140" w:before="320"/>
      </w:pPr>
      <w:bookmarkStart w:name="bm76" w:id="1"/>
      <w:r>
        <w:t xml:space="preserve">5.7 Minhas Integrações</w:t>
      </w:r>
      <w:bookmarkEnd w:id="1"/>
    </w:p>
    <w:p>
      <w:pPr>
        <w:spacing w:after="140"/>
      </w:pPr>
      <w:r>
        <w:t xml:space="preserve">Tela única para conectar o escritório a serviços externos e personalizar documentos:</w:t>
      </w:r>
    </w:p>
    <w:p>
      <w:pPr>
        <w:pStyle w:val="Heading3"/>
        <w:spacing w:after="100" w:before="220"/>
      </w:pPr>
      <w:bookmarkStart w:name="bm77" w:id="1"/>
      <w:r>
        <w:t xml:space="preserve">Provedor de IA (Agente de IA e Análise de processo)</w:t>
      </w:r>
      <w:bookmarkEnd w:id="1"/>
    </w:p>
    <w:p>
      <w:pPr>
        <w:spacing w:after="140"/>
      </w:pPr>
      <w:r>
        <w:t xml:space="preserve">Por padrão, o sistema usa um modelo de IA local, sem custo adicional. Se preferir, o escritório pode cadastrar a própria chave de API do Claude ou do Gemini (uso conhecido como "traga sua própria chave") para usar um modelo mais robusto — nesse caso, a cobrança pelo uso é feita diretamente pelo provedor (Anthropic ou Google) ao escritório, sem intermediação do sistema. A chave é validada no ato do cadastro e fica protegida — depois de salva, ela nunca é reexibida na tela, só a indicação de que já existe uma cadastrada. O botão "Remover chave" volta a usar o modelo local.</w:t>
      </w:r>
    </w:p>
    <w:p>
      <w:pPr>
        <w:pStyle w:val="Heading3"/>
        <w:spacing w:after="100" w:before="220"/>
      </w:pPr>
      <w:bookmarkStart w:name="bm78" w:id="1"/>
      <w:r>
        <w:t xml:space="preserve">Captura processual (DataJud)</w:t>
      </w:r>
      <w:bookmarkEnd w:id="1"/>
    </w:p>
    <w:p>
      <w:pPr>
        <w:spacing w:after="140"/>
      </w:pPr>
      <w:r>
        <w:t xml:space="preserve">Por padrão o sistema usa uma chave compartilhada da plataforma; o escritório pode cadastrar a própria chave gratuita do DataJud para não depender do limite de requisições compartilhado.</w:t>
      </w:r>
    </w:p>
    <w:p>
      <w:pPr>
        <w:pStyle w:val="Heading3"/>
        <w:spacing w:after="100" w:before="220"/>
      </w:pPr>
      <w:bookmarkStart w:name="bm79" w:id="1"/>
      <w:r>
        <w:t xml:space="preserve">WhatsApp dos lembretes da Agenda</w:t>
      </w:r>
      <w:bookmarkEnd w:id="1"/>
    </w:p>
    <w:p>
      <w:pPr>
        <w:spacing w:after="140"/>
      </w:pPr>
      <w:r>
        <w:t xml:space="preserve">Conecte o próprio número de WhatsApp do escritório escaneando um QR code ("Conectar WhatsApp"), usado para enviar os lembretes de compromissos da Agenda. Use "Desconectar" para pausar os lembretes por WhatsApp a qualquer momento.</w:t>
      </w:r>
    </w:p>
    <w:p>
      <w:pPr>
        <w:pStyle w:val="Heading3"/>
        <w:spacing w:after="100" w:before="220"/>
      </w:pPr>
      <w:bookmarkStart w:name="bm80" w:id="1"/>
      <w:r>
        <w:t xml:space="preserve">Timbrado do escritório</w:t>
      </w:r>
      <w:bookmarkEnd w:id="1"/>
    </w:p>
    <w:p>
      <w:pPr>
        <w:spacing w:after="140"/>
      </w:pPr>
      <w:r>
        <w:t xml:space="preserve">Envie a logomarca do escritório (PNG ou JPG, até 3 MB) para aparecer no cabeçalho dos PDFs gerados pelo sistema, como os recibos do Financeiro.</w:t>
      </w:r>
    </w:p>
    <w:p>
      <w:pPr>
        <w:shd w:fill="F2F2F2" w:val="clear"/>
        <w:spacing w:after="200"/>
      </w:pPr>
      <w:r>
        <w:rPr>
          <w:b/>
          <w:bCs/>
          <w:i/>
          <w:iCs/>
        </w:rPr>
        <w:t xml:space="preserve">Quem pode usar: </w:t>
      </w:r>
      <w:r>
        <w:rPr>
          <w:i/>
          <w:iCs/>
        </w:rPr>
        <w:t xml:space="preserve">exclusivo de administradores.</w:t>
      </w:r>
    </w:p>
    <w:p>
      <w:pPr>
        <w:pStyle w:val="Heading2"/>
        <w:spacing w:after="140" w:before="320"/>
      </w:pPr>
      <w:bookmarkStart w:name="bm81" w:id="1"/>
      <w:r>
        <w:t xml:space="preserve">5.8 Minha licença</w:t>
      </w:r>
      <w:bookmarkEnd w:id="1"/>
    </w:p>
    <w:p>
      <w:pPr>
        <w:spacing w:after="140"/>
      </w:pPr>
      <w:r>
        <w:t xml:space="preserve">Mostra o plano atual do escritório, o valor da assinatura, o status (ativa ou pendente de pagamento) e a data de vencimento. Se a licença não estiver ativa, um botão permite pagar/renovar via Mercado Pago; a confirmação do pagamento ativa a licença automaticamente.</w:t>
      </w:r>
    </w:p>
    <w:p>
      <w:pPr>
        <w:pStyle w:val="Heading3"/>
        <w:spacing w:after="100" w:before="220"/>
      </w:pPr>
      <w:bookmarkStart w:name="bm82" w:id="1"/>
      <w:r>
        <w:t xml:space="preserve">Módulos</w:t>
      </w:r>
      <w:bookmarkEnd w:id="1"/>
    </w:p>
    <w:p>
      <w:pPr>
        <w:spacing w:after="140"/>
      </w:pPr>
      <w:r>
        <w:t xml:space="preserve">Mostra os módulos opcionais disponíveis (como Governança de carteira e Agente de IA) e o status de cada um para o seu escritório: ativo, pedido em análise, ou não contratado. O botão "Solicitar" envia o pedido para aprovação; assim que aprovado, o módulo aparece liberado no menu automaticamente.</w:t>
      </w:r>
    </w:p>
    <w:p>
      <w:pPr>
        <w:shd w:fill="F2F2F2" w:val="clear"/>
        <w:spacing w:after="200"/>
      </w:pPr>
      <w:r>
        <w:rPr>
          <w:b/>
          <w:bCs/>
          <w:i/>
          <w:iCs/>
        </w:rPr>
        <w:t xml:space="preserve">Quem pode usar: </w:t>
      </w:r>
      <w:r>
        <w:rPr>
          <w:i/>
          <w:iCs/>
        </w:rPr>
        <w:t xml:space="preserve">exclusivo de administradores.</w:t>
      </w:r>
    </w:p>
    <w:p>
      <w:pPr>
        <w:pStyle w:val="Heading1"/>
        <w:pageBreakBefore/>
        <w:spacing w:after="240" w:before="0"/>
      </w:pPr>
      <w:bookmarkStart w:name="bm83" w:id="1"/>
      <w:r>
        <w:t xml:space="preserve">6. Referência rápida: quem pode acessar cada área</w:t>
      </w:r>
      <w:bookmarkEnd w:id="1"/>
    </w:p>
    <w:p>
      <w:pPr>
        <w:spacing w:after="240"/>
      </w:pPr>
      <w:r>
        <w:t xml:space="preserve">Tabela-resumo de apoio. Em caso de dúvida sobre uma tela específica, consulte o capítulo correspondente para o detalhamento completo.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DDE6F2" w:val="clear"/>
          </w:tcPr>
          <w:p>
            <w:r>
              <w:rPr>
                <w:b/>
                <w:bCs/>
              </w:rPr>
              <w:t xml:space="preserve">Área / tela</w:t>
            </w:r>
          </w:p>
        </w:tc>
        <w:tc>
          <w:tcPr>
            <w:tcW w:type="pct" w:w="33%"/>
            <w:shd w:fill="DDE6F2" w:val="clear"/>
          </w:tcPr>
          <w:p>
            <w:r>
              <w:rPr>
                <w:b/>
                <w:bCs/>
              </w:rPr>
              <w:t xml:space="preserve">Quem pode acessar</w:t>
            </w:r>
          </w:p>
        </w:tc>
        <w:tc>
          <w:tcPr>
            <w:tcW w:type="pct" w:w="33%"/>
            <w:shd w:fill="DDE6F2" w:val="clear"/>
          </w:tcPr>
          <w:p>
            <w:r>
              <w:rPr>
                <w:b/>
                <w:bCs/>
              </w:rPr>
              <w:t xml:space="preserve">Observação</w:t>
            </w:r>
          </w:p>
        </w:tc>
      </w:tr>
      <w:tr>
        <w:tc>
          <w:tcPr>
            <w:tcW w:type="pct" w:w="34%"/>
          </w:tcPr>
          <w:p>
            <w:r>
              <w:rPr>
                <w:b w:val="false"/>
                <w:bCs w:val="false"/>
              </w:rPr>
              <w:t xml:space="preserve">Painel inicial</w:t>
            </w:r>
          </w:p>
        </w:tc>
        <w:tc>
          <w:tcPr>
            <w:tcW w:type="pct" w:w="33%"/>
          </w:tcPr>
          <w:p>
            <w:r>
              <w:rPr>
                <w:b w:val="false"/>
                <w:bCs w:val="false"/>
              </w:rPr>
              <w:t xml:space="preserve">Qualquer usuário</w:t>
            </w:r>
          </w:p>
        </w:tc>
        <w:tc>
          <w:tcPr>
            <w:tcW w:type="pct" w:w="33%"/>
          </w:tcPr>
          <w:p>
            <w:r>
              <w:rPr>
                <w:b w:val="false"/>
                <w:bCs w:val="false"/>
              </w:rPr>
              <w:t xml:space="preserve">Dados sempre restritos à unidade/empresa de cada pessoa.</w:t>
            </w:r>
          </w:p>
        </w:tc>
      </w:tr>
      <w:tr>
        <w:tc>
          <w:tcPr>
            <w:tcW w:type="pct" w:w="34%"/>
          </w:tcPr>
          <w:p>
            <w:r>
              <w:rPr>
                <w:b w:val="false"/>
                <w:bCs w:val="false"/>
              </w:rPr>
              <w:t xml:space="preserve">Clientes — cadastro e edição</w:t>
            </w:r>
          </w:p>
        </w:tc>
        <w:tc>
          <w:tcPr>
            <w:tcW w:type="pct" w:w="33%"/>
          </w:tcPr>
          <w:p>
            <w:r>
              <w:rPr>
                <w:b w:val="false"/>
                <w:bCs w:val="false"/>
              </w:rPr>
              <w:t xml:space="preserve">Qualquer usuário</w:t>
            </w:r>
          </w:p>
        </w:tc>
        <w:tc>
          <w:tcPr>
            <w:tcW w:type="pct" w:w="33%"/>
          </w:tcPr>
          <w:p>
            <w:r>
              <w:rPr>
                <w:b w:val="false"/>
                <w:bCs w:val="false"/>
              </w:rPr>
              <w:t xml:space="preserve">—</w:t>
            </w:r>
          </w:p>
        </w:tc>
      </w:tr>
      <w:tr>
        <w:tc>
          <w:tcPr>
            <w:tcW w:type="pct" w:w="34%"/>
          </w:tcPr>
          <w:p>
            <w:r>
              <w:rPr>
                <w:b w:val="false"/>
                <w:bCs w:val="false"/>
              </w:rPr>
              <w:t xml:space="preserve">Clientes — due diligence</w:t>
            </w:r>
          </w:p>
        </w:tc>
        <w:tc>
          <w:tcPr>
            <w:tcW w:type="pct" w:w="33%"/>
          </w:tcPr>
          <w:p>
            <w:r>
              <w:rPr>
                <w:b w:val="false"/>
                <w:bCs w:val="false"/>
              </w:rPr>
              <w:t xml:space="preserve">Administrador ou gestor</w:t>
            </w:r>
          </w:p>
        </w:tc>
        <w:tc>
          <w:tcPr>
            <w:tcW w:type="pct" w:w="33%"/>
          </w:tcPr>
          <w:p>
            <w:r>
              <w:rPr>
                <w:b w:val="false"/>
                <w:bCs w:val="false"/>
              </w:rPr>
              <w:t xml:space="preserve">Depende de provedor de busca contratado.</w:t>
            </w:r>
          </w:p>
        </w:tc>
      </w:tr>
      <w:tr>
        <w:tc>
          <w:tcPr>
            <w:tcW w:type="pct" w:w="34%"/>
          </w:tcPr>
          <w:p>
            <w:r>
              <w:rPr>
                <w:b w:val="false"/>
                <w:bCs w:val="false"/>
              </w:rPr>
              <w:t xml:space="preserve">Clientes — anonimizar (LGPD)</w:t>
            </w:r>
          </w:p>
        </w:tc>
        <w:tc>
          <w:tcPr>
            <w:tcW w:type="pct" w:w="33%"/>
          </w:tcPr>
          <w:p>
            <w:r>
              <w:rPr>
                <w:b w:val="false"/>
                <w:bCs w:val="false"/>
              </w:rPr>
              <w:t xml:space="preserve">Administrador</w:t>
            </w:r>
          </w:p>
        </w:tc>
        <w:tc>
          <w:tcPr>
            <w:tcW w:type="pct" w:w="33%"/>
          </w:tcPr>
          <w:p>
            <w:r>
              <w:rPr>
                <w:b w:val="false"/>
                <w:bCs w:val="false"/>
              </w:rPr>
              <w:t xml:space="preserve">Ação irreversível.</w:t>
            </w:r>
          </w:p>
        </w:tc>
      </w:tr>
      <w:tr>
        <w:tc>
          <w:tcPr>
            <w:tcW w:type="pct" w:w="34%"/>
          </w:tcPr>
          <w:p>
            <w:r>
              <w:rPr>
                <w:b w:val="false"/>
                <w:bCs w:val="false"/>
              </w:rPr>
              <w:t xml:space="preserve">Processos — cadastro e edição</w:t>
            </w:r>
          </w:p>
        </w:tc>
        <w:tc>
          <w:tcPr>
            <w:tcW w:type="pct" w:w="33%"/>
          </w:tcPr>
          <w:p>
            <w:r>
              <w:rPr>
                <w:b w:val="false"/>
                <w:bCs w:val="false"/>
              </w:rPr>
              <w:t xml:space="preserve">Qualquer usuário</w:t>
            </w:r>
          </w:p>
        </w:tc>
        <w:tc>
          <w:tcPr>
            <w:tcW w:type="pct" w:w="33%"/>
          </w:tcPr>
          <w:p>
            <w:r>
              <w:rPr>
                <w:b w:val="false"/>
                <w:bCs w:val="false"/>
              </w:rPr>
              <w:t xml:space="preserve">—</w:t>
            </w:r>
          </w:p>
        </w:tc>
      </w:tr>
      <w:tr>
        <w:tc>
          <w:tcPr>
            <w:tcW w:type="pct" w:w="34%"/>
          </w:tcPr>
          <w:p>
            <w:r>
              <w:rPr>
                <w:b w:val="false"/>
                <w:bCs w:val="false"/>
              </w:rPr>
              <w:t xml:space="preserve">Processos — histórico de downloads de documento</w:t>
            </w:r>
          </w:p>
        </w:tc>
        <w:tc>
          <w:tcPr>
            <w:tcW w:type="pct" w:w="33%"/>
          </w:tcPr>
          <w:p>
            <w:r>
              <w:rPr>
                <w:b w:val="false"/>
                <w:bCs w:val="false"/>
              </w:rPr>
              <w:t xml:space="preserve">Administrador ou gestor</w:t>
            </w:r>
          </w:p>
        </w:tc>
        <w:tc>
          <w:tcPr>
            <w:tcW w:type="pct" w:w="33%"/>
          </w:tcPr>
          <w:p>
            <w:r>
              <w:rPr>
                <w:b w:val="false"/>
                <w:bCs w:val="false"/>
              </w:rPr>
              <w:t xml:space="preserve">—</w:t>
            </w:r>
          </w:p>
        </w:tc>
      </w:tr>
      <w:tr>
        <w:tc>
          <w:tcPr>
            <w:tcW w:type="pct" w:w="34%"/>
          </w:tcPr>
          <w:p>
            <w:r>
              <w:rPr>
                <w:b w:val="false"/>
                <w:bCs w:val="false"/>
              </w:rPr>
              <w:t xml:space="preserve">Processos sigilosos</w:t>
            </w:r>
          </w:p>
        </w:tc>
        <w:tc>
          <w:tcPr>
            <w:tcW w:type="pct" w:w="33%"/>
          </w:tcPr>
          <w:p>
            <w:r>
              <w:rPr>
                <w:b w:val="false"/>
                <w:bCs w:val="false"/>
              </w:rPr>
              <w:t xml:space="preserve">Lista de acesso definida por um administrador</w:t>
            </w:r>
          </w:p>
        </w:tc>
        <w:tc>
          <w:tcPr>
            <w:tcW w:type="pct" w:w="33%"/>
          </w:tcPr>
          <w:p>
            <w:r>
              <w:rPr>
                <w:b w:val="false"/>
                <w:bCs w:val="false"/>
              </w:rPr>
              <w:t xml:space="preserve">Inclui sempre o responsável e quem cadastrou.</w:t>
            </w:r>
          </w:p>
        </w:tc>
      </w:tr>
      <w:tr>
        <w:tc>
          <w:tcPr>
            <w:tcW w:type="pct" w:w="34%"/>
          </w:tcPr>
          <w:p>
            <w:r>
              <w:rPr>
                <w:b w:val="false"/>
                <w:bCs w:val="false"/>
              </w:rPr>
              <w:t xml:space="preserve">Agenda / Tarefas</w:t>
            </w:r>
          </w:p>
        </w:tc>
        <w:tc>
          <w:tcPr>
            <w:tcW w:type="pct" w:w="33%"/>
          </w:tcPr>
          <w:p>
            <w:r>
              <w:rPr>
                <w:b w:val="false"/>
                <w:bCs w:val="false"/>
              </w:rPr>
              <w:t xml:space="preserve">Qualquer usuário</w:t>
            </w:r>
          </w:p>
        </w:tc>
        <w:tc>
          <w:tcPr>
            <w:tcW w:type="pct" w:w="33%"/>
          </w:tcPr>
          <w:p>
            <w:r>
              <w:rPr>
                <w:b w:val="false"/>
                <w:bCs w:val="false"/>
              </w:rPr>
              <w:t xml:space="preserve">—</w:t>
            </w:r>
          </w:p>
        </w:tc>
      </w:tr>
      <w:tr>
        <w:tc>
          <w:tcPr>
            <w:tcW w:type="pct" w:w="34%"/>
          </w:tcPr>
          <w:p>
            <w:r>
              <w:rPr>
                <w:b w:val="false"/>
                <w:bCs w:val="false"/>
              </w:rPr>
              <w:t xml:space="preserve">Timesheet</w:t>
            </w:r>
          </w:p>
        </w:tc>
        <w:tc>
          <w:tcPr>
            <w:tcW w:type="pct" w:w="33%"/>
          </w:tcPr>
          <w:p>
            <w:r>
              <w:rPr>
                <w:b w:val="false"/>
                <w:bCs w:val="false"/>
              </w:rPr>
              <w:t xml:space="preserve">Qualquer usuário</w:t>
            </w:r>
          </w:p>
        </w:tc>
        <w:tc>
          <w:tcPr>
            <w:tcW w:type="pct" w:w="33%"/>
          </w:tcPr>
          <w:p>
            <w:r>
              <w:rPr>
                <w:b w:val="false"/>
                <w:bCs w:val="false"/>
              </w:rPr>
              <w:t xml:space="preserve">Cada um vê as próprias horas; administrador vê todas.</w:t>
            </w:r>
          </w:p>
        </w:tc>
      </w:tr>
      <w:tr>
        <w:tc>
          <w:tcPr>
            <w:tcW w:type="pct" w:w="34%"/>
          </w:tcPr>
          <w:p>
            <w:r>
              <w:rPr>
                <w:b w:val="false"/>
                <w:bCs w:val="false"/>
              </w:rPr>
              <w:t xml:space="preserve">Financeiro</w:t>
            </w:r>
          </w:p>
        </w:tc>
        <w:tc>
          <w:tcPr>
            <w:tcW w:type="pct" w:w="33%"/>
          </w:tcPr>
          <w:p>
            <w:r>
              <w:rPr>
                <w:b w:val="false"/>
                <w:bCs w:val="false"/>
              </w:rPr>
              <w:t xml:space="preserve">Administrador, gestor, ou acesso concedido individualmente</w:t>
            </w:r>
          </w:p>
        </w:tc>
        <w:tc>
          <w:tcPr>
            <w:tcW w:type="pct" w:w="33%"/>
          </w:tcPr>
          <w:p>
            <w:r>
              <w:rPr>
                <w:b w:val="false"/>
                <w:bCs w:val="false"/>
              </w:rPr>
              <w:t xml:space="preserve">Depende também do módulo estar contratado.</w:t>
            </w:r>
          </w:p>
        </w:tc>
      </w:tr>
      <w:tr>
        <w:tc>
          <w:tcPr>
            <w:tcW w:type="pct" w:w="34%"/>
          </w:tcPr>
          <w:p>
            <w:r>
              <w:rPr>
                <w:b w:val="false"/>
                <w:bCs w:val="false"/>
              </w:rPr>
              <w:t xml:space="preserve">Aprovar/rejeitar despesas (alçada)</w:t>
            </w:r>
          </w:p>
        </w:tc>
        <w:tc>
          <w:tcPr>
            <w:tcW w:type="pct" w:w="33%"/>
          </w:tcPr>
          <w:p>
            <w:r>
              <w:rPr>
                <w:b w:val="false"/>
                <w:bCs w:val="false"/>
              </w:rPr>
              <w:t xml:space="preserve">Administrador ou gestor</w:t>
            </w:r>
          </w:p>
        </w:tc>
        <w:tc>
          <w:tcPr>
            <w:tcW w:type="pct" w:w="33%"/>
          </w:tcPr>
          <w:p>
            <w:r>
              <w:rPr>
                <w:b w:val="false"/>
                <w:bCs w:val="false"/>
              </w:rPr>
              <w:t xml:space="preserve">Quem lançou a despesa nunca aprova a própria.</w:t>
            </w:r>
          </w:p>
        </w:tc>
      </w:tr>
      <w:tr>
        <w:tc>
          <w:tcPr>
            <w:tcW w:type="pct" w:w="34%"/>
          </w:tcPr>
          <w:p>
            <w:r>
              <w:rPr>
                <w:b w:val="false"/>
                <w:bCs w:val="false"/>
              </w:rPr>
              <w:t xml:space="preserve">Captação (Leads) / Captação por OAB</w:t>
            </w:r>
          </w:p>
        </w:tc>
        <w:tc>
          <w:tcPr>
            <w:tcW w:type="pct" w:w="33%"/>
          </w:tcPr>
          <w:p>
            <w:r>
              <w:rPr>
                <w:b w:val="false"/>
                <w:bCs w:val="false"/>
              </w:rPr>
              <w:t xml:space="preserve">Qualquer usuário</w:t>
            </w:r>
          </w:p>
        </w:tc>
        <w:tc>
          <w:tcPr>
            <w:tcW w:type="pct" w:w="33%"/>
          </w:tcPr>
          <w:p>
            <w:r>
              <w:rPr>
                <w:b w:val="false"/>
                <w:bCs w:val="false"/>
              </w:rPr>
              <w:t xml:space="preserve">Sem exigência de módulo contratado.</w:t>
            </w:r>
          </w:p>
        </w:tc>
      </w:tr>
      <w:tr>
        <w:tc>
          <w:tcPr>
            <w:tcW w:type="pct" w:w="34%"/>
          </w:tcPr>
          <w:p>
            <w:r>
              <w:rPr>
                <w:b w:val="false"/>
                <w:bCs w:val="false"/>
              </w:rPr>
              <w:t xml:space="preserve">Agente de IA — perfil Negócios</w:t>
            </w:r>
          </w:p>
        </w:tc>
        <w:tc>
          <w:tcPr>
            <w:tcW w:type="pct" w:w="33%"/>
          </w:tcPr>
          <w:p>
            <w:r>
              <w:rPr>
                <w:b w:val="false"/>
                <w:bCs w:val="false"/>
              </w:rPr>
              <w:t xml:space="preserve">Quem tem acesso ao Financeiro</w:t>
            </w:r>
          </w:p>
        </w:tc>
        <w:tc>
          <w:tcPr>
            <w:tcW w:type="pct" w:w="33%"/>
          </w:tcPr>
          <w:p>
            <w:r>
              <w:rPr>
                <w:b w:val="false"/>
                <w:bCs w:val="false"/>
              </w:rPr>
              <w:t xml:space="preserve">Os demais perfis são abertos a qualquer usuário.</w:t>
            </w:r>
          </w:p>
        </w:tc>
      </w:tr>
      <w:tr>
        <w:tc>
          <w:tcPr>
            <w:tcW w:type="pct" w:w="34%"/>
          </w:tcPr>
          <w:p>
            <w:r>
              <w:rPr>
                <w:b w:val="false"/>
                <w:bCs w:val="false"/>
              </w:rPr>
              <w:t xml:space="preserve">Meu agente local</w:t>
            </w:r>
          </w:p>
        </w:tc>
        <w:tc>
          <w:tcPr>
            <w:tcW w:type="pct" w:w="33%"/>
          </w:tcPr>
          <w:p>
            <w:r>
              <w:rPr>
                <w:b w:val="false"/>
                <w:bCs w:val="false"/>
              </w:rPr>
              <w:t xml:space="preserve">Cada usuário gerencia o próprio</w:t>
            </w:r>
          </w:p>
        </w:tc>
        <w:tc>
          <w:tcPr>
            <w:tcW w:type="pct" w:w="33%"/>
          </w:tcPr>
          <w:p>
            <w:r>
              <w:rPr>
                <w:b w:val="false"/>
                <w:bCs w:val="false"/>
              </w:rPr>
              <w:t xml:space="preserve">Vinculado ao certificado digital pessoal.</w:t>
            </w:r>
          </w:p>
        </w:tc>
      </w:tr>
      <w:tr>
        <w:tc>
          <w:tcPr>
            <w:tcW w:type="pct" w:w="34%"/>
          </w:tcPr>
          <w:p>
            <w:r>
              <w:rPr>
                <w:b w:val="false"/>
                <w:bCs w:val="false"/>
              </w:rPr>
              <w:t xml:space="preserve">Governança de carteira (todo o módulo)</w:t>
            </w:r>
          </w:p>
        </w:tc>
        <w:tc>
          <w:tcPr>
            <w:tcW w:type="pct" w:w="33%"/>
          </w:tcPr>
          <w:p>
            <w:r>
              <w:rPr>
                <w:b w:val="false"/>
                <w:bCs w:val="false"/>
              </w:rPr>
              <w:t xml:space="preserve">Qualquer usuário</w:t>
            </w:r>
          </w:p>
        </w:tc>
        <w:tc>
          <w:tcPr>
            <w:tcW w:type="pct" w:w="33%"/>
          </w:tcPr>
          <w:p>
            <w:r>
              <w:rPr>
                <w:b w:val="false"/>
                <w:bCs w:val="false"/>
              </w:rPr>
              <w:t xml:space="preserve">Exige o módulo contratado pelo escritório.</w:t>
            </w:r>
          </w:p>
        </w:tc>
      </w:tr>
      <w:tr>
        <w:tc>
          <w:tcPr>
            <w:tcW w:type="pct" w:w="34%"/>
          </w:tcPr>
          <w:p>
            <w:r>
              <w:rPr>
                <w:b w:val="false"/>
                <w:bCs w:val="false"/>
              </w:rPr>
              <w:t xml:space="preserve">Mapa de estado / Regras de próxima ação</w:t>
            </w:r>
          </w:p>
        </w:tc>
        <w:tc>
          <w:tcPr>
            <w:tcW w:type="pct" w:w="33%"/>
          </w:tcPr>
          <w:p>
            <w:r>
              <w:rPr>
                <w:b w:val="false"/>
                <w:bCs w:val="false"/>
              </w:rPr>
              <w:t xml:space="preserve">Administrador</w:t>
            </w:r>
          </w:p>
        </w:tc>
        <w:tc>
          <w:tcPr>
            <w:tcW w:type="pct" w:w="33%"/>
          </w:tcPr>
          <w:p>
            <w:r>
              <w:rPr>
                <w:b w:val="false"/>
                <w:bCs w:val="false"/>
              </w:rPr>
              <w:t xml:space="preserve">Dentro de Governança de carteira.</w:t>
            </w:r>
          </w:p>
        </w:tc>
      </w:tr>
      <w:tr>
        <w:tc>
          <w:tcPr>
            <w:tcW w:type="pct" w:w="34%"/>
          </w:tcPr>
          <w:p>
            <w:r>
              <w:rPr>
                <w:b w:val="false"/>
                <w:bCs w:val="false"/>
              </w:rPr>
              <w:t xml:space="preserve">Verificação de conflitos (em lote)</w:t>
            </w:r>
          </w:p>
        </w:tc>
        <w:tc>
          <w:tcPr>
            <w:tcW w:type="pct" w:w="33%"/>
          </w:tcPr>
          <w:p>
            <w:r>
              <w:rPr>
                <w:b w:val="false"/>
                <w:bCs w:val="false"/>
              </w:rPr>
              <w:t xml:space="preserve">Administrador</w:t>
            </w:r>
          </w:p>
        </w:tc>
        <w:tc>
          <w:tcPr>
            <w:tcW w:type="pct" w:w="33%"/>
          </w:tcPr>
          <w:p>
            <w:r>
              <w:rPr>
                <w:b w:val="false"/>
                <w:bCs w:val="false"/>
              </w:rPr>
              <w:t xml:space="preserve">Dentro de Governança de carteira.</w:t>
            </w:r>
          </w:p>
        </w:tc>
      </w:tr>
      <w:tr>
        <w:tc>
          <w:tcPr>
            <w:tcW w:type="pct" w:w="34%"/>
          </w:tcPr>
          <w:p>
            <w:r>
              <w:rPr>
                <w:b w:val="false"/>
                <w:bCs w:val="false"/>
              </w:rPr>
              <w:t xml:space="preserve">Equipe (usuários)</w:t>
            </w:r>
          </w:p>
        </w:tc>
        <w:tc>
          <w:tcPr>
            <w:tcW w:type="pct" w:w="33%"/>
          </w:tcPr>
          <w:p>
            <w:r>
              <w:rPr>
                <w:b w:val="false"/>
                <w:bCs w:val="false"/>
              </w:rPr>
              <w:t xml:space="preserve">Administrador ou gestor</w:t>
            </w:r>
          </w:p>
        </w:tc>
        <w:tc>
          <w:tcPr>
            <w:tcW w:type="pct" w:w="33%"/>
          </w:tcPr>
          <w:p>
            <w:r>
              <w:rPr>
                <w:b w:val="false"/>
                <w:bCs w:val="false"/>
              </w:rPr>
              <w:t xml:space="preserve">Gestor restrito à própria unidade e aos papéis advogado/funcionário.</w:t>
            </w:r>
          </w:p>
        </w:tc>
      </w:tr>
      <w:tr>
        <w:tc>
          <w:tcPr>
            <w:tcW w:type="pct" w:w="34%"/>
          </w:tcPr>
          <w:p>
            <w:r>
              <w:rPr>
                <w:b w:val="false"/>
                <w:bCs w:val="false"/>
              </w:rPr>
              <w:t xml:space="preserve">Unidades / Relatórios / Auditoria</w:t>
            </w:r>
          </w:p>
        </w:tc>
        <w:tc>
          <w:tcPr>
            <w:tcW w:type="pct" w:w="33%"/>
          </w:tcPr>
          <w:p>
            <w:r>
              <w:rPr>
                <w:b w:val="false"/>
                <w:bCs w:val="false"/>
              </w:rPr>
              <w:t xml:space="preserve">Administrador</w:t>
            </w:r>
          </w:p>
        </w:tc>
        <w:tc>
          <w:tcPr>
            <w:tcW w:type="pct" w:w="33%"/>
          </w:tcPr>
          <w:p>
            <w:r>
              <w:rPr>
                <w:b w:val="false"/>
                <w:bCs w:val="false"/>
              </w:rPr>
              <w:t xml:space="preserve">—</w:t>
            </w:r>
          </w:p>
        </w:tc>
      </w:tr>
      <w:tr>
        <w:tc>
          <w:tcPr>
            <w:tcW w:type="pct" w:w="34%"/>
          </w:tcPr>
          <w:p>
            <w:r>
              <w:rPr>
                <w:b w:val="false"/>
                <w:bCs w:val="false"/>
              </w:rPr>
              <w:t xml:space="preserve">Alçada de aprovação (configurar)</w:t>
            </w:r>
          </w:p>
        </w:tc>
        <w:tc>
          <w:tcPr>
            <w:tcW w:type="pct" w:w="33%"/>
          </w:tcPr>
          <w:p>
            <w:r>
              <w:rPr>
                <w:b w:val="false"/>
                <w:bCs w:val="false"/>
              </w:rPr>
              <w:t xml:space="preserve">Administrador</w:t>
            </w:r>
          </w:p>
        </w:tc>
        <w:tc>
          <w:tcPr>
            <w:tcW w:type="pct" w:w="33%"/>
          </w:tcPr>
          <w:p>
            <w:r>
              <w:rPr>
                <w:b w:val="false"/>
                <w:bCs w:val="false"/>
              </w:rPr>
              <w:t xml:space="preserve">—</w:t>
            </w:r>
          </w:p>
        </w:tc>
      </w:tr>
      <w:tr>
        <w:tc>
          <w:tcPr>
            <w:tcW w:type="pct" w:w="34%"/>
          </w:tcPr>
          <w:p>
            <w:r>
              <w:rPr>
                <w:b w:val="false"/>
                <w:bCs w:val="false"/>
              </w:rPr>
              <w:t xml:space="preserve">Minhas Integrações</w:t>
            </w:r>
          </w:p>
        </w:tc>
        <w:tc>
          <w:tcPr>
            <w:tcW w:type="pct" w:w="33%"/>
          </w:tcPr>
          <w:p>
            <w:r>
              <w:rPr>
                <w:b w:val="false"/>
                <w:bCs w:val="false"/>
              </w:rPr>
              <w:t xml:space="preserve">Administrador</w:t>
            </w:r>
          </w:p>
        </w:tc>
        <w:tc>
          <w:tcPr>
            <w:tcW w:type="pct" w:w="33%"/>
          </w:tcPr>
          <w:p>
            <w:r>
              <w:rPr>
                <w:b w:val="false"/>
                <w:bCs w:val="false"/>
              </w:rPr>
              <w:t xml:space="preserve">—</w:t>
            </w:r>
          </w:p>
        </w:tc>
      </w:tr>
      <w:tr>
        <w:tc>
          <w:tcPr>
            <w:tcW w:type="pct" w:w="34%"/>
          </w:tcPr>
          <w:p>
            <w:r>
              <w:rPr>
                <w:b w:val="false"/>
                <w:bCs w:val="false"/>
              </w:rPr>
              <w:t xml:space="preserve">Minha licença / Módulos</w:t>
            </w:r>
          </w:p>
        </w:tc>
        <w:tc>
          <w:tcPr>
            <w:tcW w:type="pct" w:w="33%"/>
          </w:tcPr>
          <w:p>
            <w:r>
              <w:rPr>
                <w:b w:val="false"/>
                <w:bCs w:val="false"/>
              </w:rPr>
              <w:t xml:space="preserve">Administrador</w:t>
            </w:r>
          </w:p>
        </w:tc>
        <w:tc>
          <w:tcPr>
            <w:tcW w:type="pct" w:w="33%"/>
          </w:tcPr>
          <w:p>
            <w:r>
              <w:rPr>
                <w:b w:val="false"/>
                <w:bCs w:val="false"/>
              </w:rPr>
              <w:t xml:space="preserv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b/>
      <w:bCs/>
      <w:color w:val="1F3864"/>
      <w:sz w:val="32"/>
      <w:szCs w:val="32"/>
    </w:rPr>
  </w:style>
  <w:style w:type="paragraph" w:styleId="Heading2">
    <w:name w:val="Heading 2"/>
    <w:basedOn w:val="Normal"/>
    <w:next w:val="Normal"/>
    <w:qFormat/>
    <w:rPr>
      <w:b/>
      <w:bCs/>
      <w:color w:val="2E5395"/>
      <w:sz w:val="26"/>
      <w:szCs w:val="26"/>
    </w:rPr>
  </w:style>
  <w:style w:type="paragraph" w:styleId="Heading3">
    <w:name w:val="Heading 3"/>
    <w:basedOn w:val="Normal"/>
    <w:next w:val="Normal"/>
    <w:qFormat/>
    <w:rPr>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Usuário — JusControl</dc:title>
  <dc:creator>JusControl</dc:creator>
  <dc:description>Manual do usuário final do sistema JusControl</dc:description>
  <cp:lastModifiedBy>Un-named</cp:lastModifiedBy>
  <cp:revision>1</cp:revision>
  <dcterms:created xsi:type="dcterms:W3CDTF">2026-09-16T16:43:02.665Z</dcterms:created>
  <dcterms:modified xsi:type="dcterms:W3CDTF">2026-09-16T16:43:02.668Z</dcterms:modified>
</cp:coreProperties>
</file>

<file path=docProps/custom.xml><?xml version="1.0" encoding="utf-8"?>
<Properties xmlns="http://schemas.openxmlformats.org/officeDocument/2006/custom-properties" xmlns:vt="http://schemas.openxmlformats.org/officeDocument/2006/docPropsVTypes"/>
</file>