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246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671"/>
        <w:gridCol w:w="1049"/>
        <w:gridCol w:w="1267"/>
        <w:gridCol w:w="1352"/>
        <w:gridCol w:w="2638"/>
        <w:gridCol w:w="3644"/>
        <w:gridCol w:w="2947"/>
      </w:tblGrid>
      <w:tr w:rsidR="004B55A2" w:rsidTr="005A40EA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Study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Seq. start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Plat-form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Species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% Poly(A) identifying reads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Percentage of mapped reads in 3’UTR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vertAlign w:val="superscript"/>
                <w:lang w:val="en-GB" w:eastAsia="es-ES" w:bidi="ar-SA"/>
              </w:rPr>
              <w:t>3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EEECE1" w:themeFill="background2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es-ES" w:bidi="ar-SA"/>
              </w:rPr>
              <w:t>Limitations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RNA-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RNA-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Seq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HiSeq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cerevisiae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0.18%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19%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spacing w:line="225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Not designed for mapping poly(A) sites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Beck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2010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H. sapiens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33-40%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Stringent size selection required, PE reads do not add value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5A40EA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Ozsolak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2010 </w:t>
            </w:r>
          </w:p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(</w:t>
            </w:r>
            <w:r w:rsidR="005A40EA" w:rsidRPr="005A40E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s-ES" w:bidi="ar-SA"/>
              </w:rPr>
              <w:t>HELICOS</w:t>
            </w:r>
            <w:r w:rsidR="005A40EA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 </w:t>
            </w:r>
            <w:r w:rsidRPr="001F00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s-ES" w:bidi="ar-SA"/>
              </w:rPr>
              <w:t>DRS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)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Helicos DRS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cerevisiae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,</w:t>
            </w:r>
          </w:p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H. sapiens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91%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Short read length, limited availability, lower throughput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Yoon 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Brem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 2010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cerevisiae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35%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Not strand-specific, 50% of reads sequence through a poly(T) stretch resulting in low quality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Fox-Walsh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2011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H. sapiens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85%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Stringent size selection required, PE reads do not add value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5A40EA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Shepard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2011 </w:t>
            </w:r>
          </w:p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(</w:t>
            </w:r>
            <w:r w:rsidRPr="001F00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s-ES" w:bidi="ar-SA"/>
              </w:rPr>
              <w:t>PAS-</w:t>
            </w:r>
            <w:proofErr w:type="spellStart"/>
            <w:r w:rsidRPr="001F00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s-ES" w:bidi="ar-SA"/>
              </w:rPr>
              <w:t>seq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)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H. sapiens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63%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Decreased quality due to desynchronized sequencing start (polymerase slippage on cluster)</w:t>
            </w:r>
          </w:p>
        </w:tc>
      </w:tr>
      <w:tr w:rsidR="004B55A2" w:rsidRPr="00587168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Jan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2011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C.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elegans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Pr="00587168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Protocol includes many RNA manipulation steps, reduced cluster recognition due to remaining A's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 w:bidi="ar-SA"/>
              </w:rPr>
              <w:t>Pelechano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 w:bidi="ar-SA"/>
              </w:rPr>
              <w:t xml:space="preserve"> et al. 2012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HiSeq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cerevisiae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47.0%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89%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Stringent size selection required, PE reads do not add value</w:t>
            </w:r>
          </w:p>
        </w:tc>
      </w:tr>
      <w:tr w:rsidR="004B55A2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Derti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et al.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2012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GAIIx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5 mammals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-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17-27%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Decreased quality due to desynchronized sequencing start (polymerase slippage on cluster)</w:t>
            </w:r>
          </w:p>
        </w:tc>
      </w:tr>
      <w:tr w:rsidR="004B55A2" w:rsidRPr="00587168" w:rsidTr="004B55A2">
        <w:trPr>
          <w:trHeight w:hRule="exact" w:val="624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Wilkening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 xml:space="preserve"> et al. 2012 (</w:t>
            </w:r>
            <w:r w:rsidRPr="001F00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s-ES" w:bidi="ar-SA"/>
              </w:rPr>
              <w:t>3'FILL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)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3’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HiSeq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cerevisiae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74.4%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92%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Pr="00587168" w:rsidRDefault="004B55A2" w:rsidP="004B55A2">
            <w:pPr>
              <w:widowControl/>
              <w:suppressAutoHyphens w:val="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Access to cluster station required</w:t>
            </w:r>
          </w:p>
        </w:tc>
      </w:tr>
      <w:tr w:rsidR="004B55A2" w:rsidTr="004B55A2">
        <w:trPr>
          <w:trHeight w:hRule="exact" w:val="592"/>
        </w:trPr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 w:bidi="ar-SA"/>
              </w:rPr>
              <w:t>Hoque et al. 2013 (</w:t>
            </w:r>
            <w:r w:rsidRPr="001F00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ES" w:eastAsia="es-ES" w:bidi="ar-SA"/>
              </w:rPr>
              <w:t>3'READS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 w:bidi="ar-SA"/>
              </w:rPr>
              <w:t>)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5’ end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GAIIx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 xml:space="preserve">M.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GB" w:eastAsia="es-ES" w:bidi="ar-SA"/>
              </w:rPr>
              <w:t>musculus</w:t>
            </w:r>
            <w:proofErr w:type="spellEnd"/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56%</w:t>
            </w:r>
          </w:p>
        </w:tc>
        <w:tc>
          <w:tcPr>
            <w:tcW w:w="0" w:type="auto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66.3-91.1%</w:t>
            </w:r>
          </w:p>
        </w:tc>
        <w:tc>
          <w:tcPr>
            <w:tcW w:w="294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  <w:vAlign w:val="center"/>
          </w:tcPr>
          <w:p w:rsidR="004B55A2" w:rsidRDefault="004B55A2" w:rsidP="004B55A2">
            <w:pPr>
              <w:widowControl/>
              <w:suppressAutoHyphens w:val="0"/>
              <w:jc w:val="both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s-ES" w:bidi="ar-SA"/>
              </w:rPr>
              <w:t>?</w:t>
            </w:r>
          </w:p>
        </w:tc>
      </w:tr>
    </w:tbl>
    <w:p w:rsidR="000A355D" w:rsidRPr="000A355D" w:rsidRDefault="000A355D" w:rsidP="004B55A2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0A355D">
        <w:rPr>
          <w:rFonts w:ascii="Arial" w:hAnsi="Arial" w:cs="Arial"/>
          <w:b/>
        </w:rPr>
        <w:t>TABLE-1</w:t>
      </w:r>
    </w:p>
    <w:sectPr w:rsidR="000A355D" w:rsidRPr="000A355D" w:rsidSect="000A35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75F" w:rsidRDefault="0029775F" w:rsidP="005A40EA">
      <w:r>
        <w:separator/>
      </w:r>
    </w:p>
  </w:endnote>
  <w:endnote w:type="continuationSeparator" w:id="0">
    <w:p w:rsidR="0029775F" w:rsidRDefault="0029775F" w:rsidP="005A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75F" w:rsidRDefault="0029775F" w:rsidP="005A40EA">
      <w:r>
        <w:separator/>
      </w:r>
    </w:p>
  </w:footnote>
  <w:footnote w:type="continuationSeparator" w:id="0">
    <w:p w:rsidR="0029775F" w:rsidRDefault="0029775F" w:rsidP="005A40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74"/>
    <w:rsid w:val="000A355D"/>
    <w:rsid w:val="001F0074"/>
    <w:rsid w:val="0029775F"/>
    <w:rsid w:val="004B55A2"/>
    <w:rsid w:val="005A40EA"/>
    <w:rsid w:val="009E04C6"/>
    <w:rsid w:val="00C0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74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0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40EA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A40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0EA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74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0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A40EA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A40EA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0EA"/>
    <w:rPr>
      <w:rFonts w:ascii="Times New Roman" w:eastAsia="DejaVu Sans" w:hAnsi="Times New Roman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2013-12-05T10:00:00Z</dcterms:created>
  <dcterms:modified xsi:type="dcterms:W3CDTF">2013-12-05T10:17:00Z</dcterms:modified>
</cp:coreProperties>
</file>