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06A1" w14:textId="5A863A37" w:rsidR="00A965F0" w:rsidRPr="00A965F0" w:rsidRDefault="00A965F0" w:rsidP="00A965F0">
      <w:pPr>
        <w:spacing w:line="480" w:lineRule="auto"/>
        <w:jc w:val="center"/>
        <w:rPr>
          <w:rFonts w:ascii="Times New Roman" w:eastAsia="Times New Roman" w:hAnsi="Times New Roman" w:cs="Times New Roman"/>
          <w:b/>
          <w:bCs/>
          <w:sz w:val="24"/>
          <w:szCs w:val="24"/>
          <w:lang w:val="en-US"/>
        </w:rPr>
      </w:pPr>
      <w:r w:rsidRPr="00A965F0">
        <w:rPr>
          <w:rFonts w:ascii="Times New Roman" w:eastAsia="Times New Roman" w:hAnsi="Times New Roman" w:cs="Times New Roman"/>
          <w:b/>
          <w:bCs/>
          <w:sz w:val="24"/>
          <w:szCs w:val="24"/>
          <w:lang w:val="en-US"/>
        </w:rPr>
        <w:t>C</w:t>
      </w:r>
      <w:r w:rsidRPr="00A965F0">
        <w:rPr>
          <w:rFonts w:ascii="Times New Roman" w:eastAsia="Times New Roman" w:hAnsi="Times New Roman" w:cs="Times New Roman"/>
          <w:b/>
          <w:bCs/>
          <w:sz w:val="24"/>
          <w:szCs w:val="24"/>
          <w:lang w:val="en-US"/>
        </w:rPr>
        <w:t>ase &amp; Mechanism Explanation — Microsoft/OpenAI Partnership</w:t>
      </w:r>
    </w:p>
    <w:p w14:paraId="770359FB" w14:textId="77777777" w:rsidR="00A965F0" w:rsidRPr="00A965F0" w:rsidRDefault="00A965F0" w:rsidP="00A965F0">
      <w:pPr>
        <w:spacing w:line="480" w:lineRule="auto"/>
        <w:ind w:firstLine="720"/>
        <w:rPr>
          <w:rFonts w:ascii="Times New Roman" w:eastAsia="Times New Roman" w:hAnsi="Times New Roman" w:cs="Times New Roman"/>
          <w:sz w:val="24"/>
          <w:szCs w:val="24"/>
          <w:lang w:val="en-US"/>
        </w:rPr>
      </w:pPr>
      <w:r w:rsidRPr="00A965F0">
        <w:rPr>
          <w:rFonts w:ascii="Times New Roman" w:eastAsia="Times New Roman" w:hAnsi="Times New Roman" w:cs="Times New Roman"/>
          <w:sz w:val="24"/>
          <w:szCs w:val="24"/>
          <w:lang w:val="en-US"/>
        </w:rPr>
        <w:t>In recent years, Microsoft has become one of the main financial and infrastructure partners behind OpenAI, investing billions of dollars and integrating OpenAI’s models into products like Azure and Microsoft 365. Partnerships between tech companies are common, but this relationship raises ethical concerns because it concentrates a lot of influence over advanced AI systems within a single corporation. As OpenAI has shifted from a nonprofit research lab toward a more for-profit structure, critics and regulators have started questioning how large investments might shape the way AI is developed, deployed, and governed. In 2024, the U.S. Federal Trade Commission (FTC) opened an inquiry into major AI partnerships, including Microsoft’s connection with OpenAI, to examine possible risks to competition and innovation (Federal Trade Commission, 2024). This case highlights a key ethical tension: corporate funding makes powerful AI possible, but profit-driven incentives may challenge transparency, fairness, and public accountability.</w:t>
      </w:r>
    </w:p>
    <w:p w14:paraId="569FF11C" w14:textId="77777777" w:rsidR="00A965F0" w:rsidRPr="00A965F0" w:rsidRDefault="00A965F0" w:rsidP="00A965F0">
      <w:pPr>
        <w:spacing w:line="480" w:lineRule="auto"/>
        <w:ind w:firstLine="720"/>
        <w:rPr>
          <w:rFonts w:ascii="Times New Roman" w:eastAsia="Times New Roman" w:hAnsi="Times New Roman" w:cs="Times New Roman"/>
          <w:sz w:val="24"/>
          <w:szCs w:val="24"/>
          <w:lang w:val="en-US"/>
        </w:rPr>
      </w:pPr>
      <w:r w:rsidRPr="00A965F0">
        <w:rPr>
          <w:rFonts w:ascii="Times New Roman" w:eastAsia="Times New Roman" w:hAnsi="Times New Roman" w:cs="Times New Roman"/>
          <w:sz w:val="24"/>
          <w:szCs w:val="24"/>
          <w:lang w:val="en-US"/>
        </w:rPr>
        <w:t>The ethical issues here don’t come from one single decision but from a chain of connected steps. Large technology companies collect and control massive datasets that are often proprietary and difficult for outsiders to examine. These datasets influence how AI systems are trained and can reinforce existing biases or reflect corporate priorities. During development, companies often focus on efficiency, scalability, and market success, which may conflict with ethical values like justice, transparency, or democratic oversight. Once deployed, AI systems are usually protected as intellectual property, making independent auditing or public understanding more difficult.</w:t>
      </w:r>
    </w:p>
    <w:p w14:paraId="1DAD8076" w14:textId="77777777" w:rsidR="00A965F0" w:rsidRDefault="00A965F0" w:rsidP="00A965F0">
      <w:pPr>
        <w:spacing w:line="480" w:lineRule="auto"/>
        <w:ind w:firstLine="720"/>
        <w:rPr>
          <w:rFonts w:ascii="Times New Roman" w:eastAsia="Times New Roman" w:hAnsi="Times New Roman" w:cs="Times New Roman"/>
          <w:sz w:val="24"/>
          <w:szCs w:val="24"/>
          <w:lang w:val="en-US"/>
        </w:rPr>
      </w:pPr>
      <w:r w:rsidRPr="00A965F0">
        <w:rPr>
          <w:rFonts w:ascii="Times New Roman" w:eastAsia="Times New Roman" w:hAnsi="Times New Roman" w:cs="Times New Roman"/>
          <w:sz w:val="24"/>
          <w:szCs w:val="24"/>
          <w:lang w:val="en-US"/>
        </w:rPr>
        <w:t xml:space="preserve">Public institutions, including universities, hospitals, and employers, adopt these tools because they promise productivity and cost savings. However, relying on proprietary systems </w:t>
      </w:r>
      <w:r w:rsidRPr="00A965F0">
        <w:rPr>
          <w:rFonts w:ascii="Times New Roman" w:eastAsia="Times New Roman" w:hAnsi="Times New Roman" w:cs="Times New Roman"/>
          <w:sz w:val="24"/>
          <w:szCs w:val="24"/>
          <w:lang w:val="en-US"/>
        </w:rPr>
        <w:lastRenderedPageBreak/>
        <w:t>can shift decision-making power away from public organizations and toward private technology providers. Students, patients, and workers affected by AI-driven decisions may struggle to question or appeal outcomes because the systems are complex and not fully transparent.</w:t>
      </w:r>
    </w:p>
    <w:p w14:paraId="6392AB34" w14:textId="10CCD900" w:rsidR="00A965F0" w:rsidRPr="00A965F0" w:rsidRDefault="00A965F0" w:rsidP="00A965F0">
      <w:pPr>
        <w:spacing w:line="480" w:lineRule="auto"/>
        <w:ind w:firstLine="720"/>
        <w:rPr>
          <w:rFonts w:ascii="Times New Roman" w:eastAsia="Times New Roman" w:hAnsi="Times New Roman" w:cs="Times New Roman"/>
          <w:sz w:val="24"/>
          <w:szCs w:val="24"/>
          <w:lang w:val="en-US"/>
        </w:rPr>
      </w:pPr>
      <w:r w:rsidRPr="00A965F0">
        <w:rPr>
          <w:rFonts w:ascii="Times New Roman" w:eastAsia="Times New Roman" w:hAnsi="Times New Roman" w:cs="Times New Roman"/>
          <w:sz w:val="24"/>
          <w:szCs w:val="24"/>
          <w:lang w:val="en-US"/>
        </w:rPr>
        <w:t>The stakeholders in this case experience different levels of benefit and risk. Large technology companies and investors gain economic and strategic advantages, while public institutions gain efficiency but may lose some autonomy. Individuals affected by AI decisions face the most uncertainty, especially marginalized communities whose data may be used without meaningful consent and who may experience disproportionate harm. Smaller startups and nonprofit research labs can also be pushed aside due to limited resources. Ultimately, corporate leaders, investors, and regulators like the FTC hold the most power to influence change, while everyday users have far less control.</w:t>
      </w:r>
    </w:p>
    <w:p w14:paraId="5EA8DDB9" w14:textId="0E0754B0" w:rsidR="00A965F0" w:rsidRPr="00A965F0" w:rsidRDefault="00A965F0" w:rsidP="00A965F0">
      <w:pPr>
        <w:spacing w:line="480" w:lineRule="auto"/>
        <w:rPr>
          <w:rFonts w:ascii="Times New Roman" w:eastAsia="Times New Roman" w:hAnsi="Times New Roman" w:cs="Times New Roman"/>
          <w:sz w:val="24"/>
          <w:szCs w:val="24"/>
          <w:lang w:val="en-US"/>
        </w:rPr>
      </w:pPr>
      <w:r w:rsidRPr="00A965F0">
        <w:rPr>
          <w:rFonts w:ascii="Times New Roman" w:eastAsia="Times New Roman" w:hAnsi="Times New Roman" w:cs="Times New Roman"/>
          <w:b/>
          <w:bCs/>
          <w:sz w:val="24"/>
          <w:szCs w:val="24"/>
          <w:lang w:val="en-US"/>
        </w:rPr>
        <w:t>Works Cited</w:t>
      </w:r>
      <w:r w:rsidRPr="00A965F0">
        <w:rPr>
          <w:rFonts w:ascii="Times New Roman" w:eastAsia="Times New Roman" w:hAnsi="Times New Roman" w:cs="Times New Roman"/>
          <w:sz w:val="24"/>
          <w:szCs w:val="24"/>
          <w:lang w:val="en-US"/>
        </w:rPr>
        <w:br/>
        <w:t xml:space="preserve">Federal Trade Commission. “FTC Launches Inquiry into Generative AI Investments.” </w:t>
      </w:r>
      <w:r w:rsidRPr="00A965F0">
        <w:rPr>
          <w:rFonts w:ascii="Times New Roman" w:eastAsia="Times New Roman" w:hAnsi="Times New Roman" w:cs="Times New Roman"/>
          <w:i/>
          <w:iCs/>
          <w:sz w:val="24"/>
          <w:szCs w:val="24"/>
          <w:lang w:val="en-US"/>
        </w:rPr>
        <w:t>ftc.gov</w:t>
      </w:r>
      <w:r w:rsidRPr="00A965F0">
        <w:rPr>
          <w:rFonts w:ascii="Times New Roman" w:eastAsia="Times New Roman" w:hAnsi="Times New Roman" w:cs="Times New Roman"/>
          <w:sz w:val="24"/>
          <w:szCs w:val="24"/>
          <w:lang w:val="en-US"/>
        </w:rPr>
        <w:t>, 2024.</w:t>
      </w:r>
      <w:r w:rsidRPr="00A965F0">
        <w:rPr>
          <w:rFonts w:ascii="Times New Roman" w:eastAsia="Times New Roman" w:hAnsi="Times New Roman" w:cs="Times New Roman"/>
          <w:sz w:val="24"/>
          <w:szCs w:val="24"/>
          <w:lang w:val="en-US"/>
        </w:rPr>
        <w:br/>
        <w:t xml:space="preserve">Microsoft. “The Next Chapter of the Microsoft–OpenAI Partnership.” </w:t>
      </w:r>
      <w:r w:rsidRPr="00A965F0">
        <w:rPr>
          <w:rFonts w:ascii="Times New Roman" w:eastAsia="Times New Roman" w:hAnsi="Times New Roman" w:cs="Times New Roman"/>
          <w:i/>
          <w:iCs/>
          <w:sz w:val="24"/>
          <w:szCs w:val="24"/>
          <w:lang w:val="en-US"/>
        </w:rPr>
        <w:t>Microsoft Blogs</w:t>
      </w:r>
      <w:r w:rsidRPr="00A965F0">
        <w:rPr>
          <w:rFonts w:ascii="Times New Roman" w:eastAsia="Times New Roman" w:hAnsi="Times New Roman" w:cs="Times New Roman"/>
          <w:sz w:val="24"/>
          <w:szCs w:val="24"/>
          <w:lang w:val="en-US"/>
        </w:rPr>
        <w:t>, Oct. 28, 2025.</w:t>
      </w:r>
    </w:p>
    <w:p w14:paraId="0000000E" w14:textId="77777777" w:rsidR="002A33C5" w:rsidRPr="00A965F0" w:rsidRDefault="002A33C5" w:rsidP="00A965F0">
      <w:pPr>
        <w:spacing w:line="480" w:lineRule="auto"/>
      </w:pPr>
    </w:p>
    <w:sectPr w:rsidR="002A33C5" w:rsidRPr="00A965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FA0DEFE-716E-4E61-986B-827F827B9904}"/>
  </w:font>
  <w:font w:name="Cambria">
    <w:panose1 w:val="02040503050406030204"/>
    <w:charset w:val="00"/>
    <w:family w:val="roman"/>
    <w:pitch w:val="variable"/>
    <w:sig w:usb0="E00006FF" w:usb1="420024FF" w:usb2="02000000" w:usb3="00000000" w:csb0="0000019F" w:csb1="00000000"/>
    <w:embedRegular r:id="rId2" w:fontKey="{5774EFD8-C929-4E59-98BC-D680CCDBDA4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3C5"/>
    <w:rsid w:val="002A33C5"/>
    <w:rsid w:val="00616794"/>
    <w:rsid w:val="0066773F"/>
    <w:rsid w:val="00A96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CD07"/>
  <w15:docId w15:val="{B7CA7A72-538C-4423-841D-E3C9EE4C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Lennon le Maestro</dc:creator>
  <cp:lastModifiedBy>Salient F Makia Nkongho Enoh</cp:lastModifiedBy>
  <cp:revision>2</cp:revision>
  <dcterms:created xsi:type="dcterms:W3CDTF">2026-02-16T01:57:00Z</dcterms:created>
  <dcterms:modified xsi:type="dcterms:W3CDTF">2026-02-16T01:57:00Z</dcterms:modified>
</cp:coreProperties>
</file>