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Avslutningsvis vill vi sammanfatta studiens kunskapsbidrag i forskningen. Resultatet är en djupare förståelse för de utvalda individernas tankar, värderingar, och agerande gällande hållbarhet och mode. Utifrån den grupp av individer som deltagit i vår studie kan vi besvara vår frågeställning enligt följande. Gapet mellan ett hållbarhetsintresse och agerande inom klädkonsumtion existerar på grund av att de två koncepten, mode och hållbar utveckling, båda har en stark betydelse både på ett individuellt och kollektivt plan men samtidigt motstrider varandra. Vår tolkning är således att gapet består av en motsägelse mellan mode och hållbarhet som genererar en inre förhandling för individen som i sin tur påverkas av en rad svårgenomträngliga barriärer.</w:t>
      </w:r>
    </w:p>
    <w:p>
      <w:r>
        <w:br/>
        <w:br/>
        <w:br/>
        <w:br/>
        <w:br/>
      </w:r>
    </w:p>
    <w:p/>
    <w:p/>
    <w:p/>
    <w:p/>
    <w:p/>
    <w:p/>
    <w:p/>
    <w:p/>
    <w:p>
      <w:r>
        <w:t>6. Rekommendationer till vidare forskning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