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b/>
          <w:bCs/>
          <w:color w:val="1F4E5F"/>
          <w:sz w:val="38"/>
          <w:szCs w:val="38"/>
        </w:rPr>
        <w:t xml:space="preserve">Canadian Plays and Operators</w:t>
      </w:r>
    </w:p>
    <w:p>
      <w:pPr>
        <w:pBdr>
          <w:bottom w:val="single" w:color="D5DBE0" w:sz="6"/>
        </w:pBdr>
        <w:spacing w:after="200"/>
      </w:pPr>
      <w:r>
        <w:rPr>
          <w:color w:val="6B7280"/>
          <w:sz w:val="21"/>
          <w:szCs w:val="21"/>
        </w:rPr>
        <w:t xml:space="preserve">Interview reference — production data June 2026</w:t>
      </w:r>
    </w:p>
    <w:p>
      <w:pPr>
        <w:spacing w:after="110"/>
      </w:pPr>
      <w:r>
        <w:rPr>
          <w:b/>
          <w:bCs/>
          <w:sz w:val="19"/>
          <w:szCs w:val="19"/>
        </w:rPr>
        <w:t xml:space="preserve">How to use the numbers. </w:t>
      </w:r>
      <w:r>
        <w:rPr>
          <w:sz w:val="19"/>
          <w:szCs w:val="19"/>
        </w:rPr>
        <w:t xml:space="preserve">Operator volumes are measured — Petrinex volumetric data joined to AER ST37, attributed by well licensee. Play assignment is geographic and therefore approximate: wells are binned by bottom-hole location, so a company straddling two plays is split between them. Validated against known footprints (Imperial's Cold Lake figure equals its entire Alberta output, which is correct).</w:t>
      </w:r>
    </w:p>
    <w:p>
      <w:pPr>
        <w:pStyle w:val="ListParagraph"/>
        <w:numPr>
          <w:ilvl w:val="0"/>
          <w:numId w:val="2"/>
        </w:numPr>
        <w:spacing w:after="60"/>
      </w:pPr>
      <w:r>
        <w:rPr>
          <w:sz w:val="19"/>
          <w:szCs w:val="19"/>
        </w:rPr>
        <w:t xml:space="preserve">Alberta only. Tourmaline and ARC are understated — both hold material BC Montney.</w:t>
      </w:r>
    </w:p>
    <w:p>
      <w:pPr>
        <w:pStyle w:val="ListParagraph"/>
        <w:numPr>
          <w:ilvl w:val="0"/>
          <w:numId w:val="2"/>
        </w:numPr>
        <w:spacing w:after="60"/>
      </w:pPr>
      <w:r>
        <w:rPr>
          <w:sz w:val="19"/>
          <w:szCs w:val="19"/>
        </w:rPr>
        <w:t xml:space="preserve">Conventional only. Mined oil sands are withheld by Petrinex, so add roughly 1.3 MMbbl/d for Suncor, CNRL and Imperial.</w:t>
      </w:r>
    </w:p>
    <w:p>
      <w:pPr>
        <w:pStyle w:val="ListParagraph"/>
        <w:numPr>
          <w:ilvl w:val="0"/>
          <w:numId w:val="2"/>
        </w:numPr>
        <w:spacing w:after="60"/>
      </w:pPr>
      <w:r>
        <w:rPr>
          <w:sz w:val="19"/>
          <w:szCs w:val="19"/>
        </w:rPr>
        <w:t xml:space="preserve">The Deep Basin / Montney boundary is genuinely fuzzy. Wells are assigned to the first play whose box contains them, so the Montney takes the overlap and the Deep Basin figure is correspondingly lower.</w:t>
      </w:r>
    </w:p>
    <w:p>
      <w:pPr>
        <w:pStyle w:val="ListParagraph"/>
        <w:numPr>
          <w:ilvl w:val="0"/>
          <w:numId w:val="2"/>
        </w:numPr>
        <w:spacing w:after="60"/>
      </w:pPr>
      <w:r>
        <w:rPr>
          <w:sz w:val="19"/>
          <w:szCs w:val="19"/>
        </w:rPr>
        <w:t xml:space="preserve">BOE is 6 Mcf to 1 barrel — an energy equivalence, not an economic one. At current prices a gas boe is worth a fraction of an oil boe, so never compare a gas-weighted play to an oil one on BOE alone.</w:t>
      </w:r>
    </w:p>
    <w:p>
      <w:pPr>
        <w:spacing w:after="180"/>
      </w:pPr>
      <w:r>
        <w:rPr>
          <w:i w:val="false"/>
          <w:iCs w:val="false"/>
          <w:color w:val="6B7280"/>
          <w:sz w:val="19"/>
          <w:szCs w:val="19"/>
        </w:rPr>
        <w:t xml:space="preserve">Alberta totals: 13.2 Bcf/d gas · 1.97 MMbbl/d bitumen · 550 Mbbl/d conventional crude · roughly 4.5 MMboe/d across all plays.</w:t>
      </w:r>
    </w:p>
    <w:p>
      <w:pPr>
        <w:pStyle w:val="Heading1"/>
        <w:pBdr>
          <w:bottom w:val="single" w:color="D5DBE0" w:sz="6"/>
        </w:pBdr>
        <w:spacing w:after="130" w:before="340"/>
      </w:pPr>
      <w:r>
        <w:rPr>
          <w:b/>
          <w:bCs/>
          <w:color w:val="1F4E5F"/>
          <w:sz w:val="28"/>
          <w:szCs w:val="28"/>
        </w:rPr>
        <w:t xml:space="preserve">Gas plays</w:t>
      </w:r>
    </w:p>
    <w:p>
      <w:pPr>
        <w:pStyle w:val="Heading2"/>
        <w:spacing w:after="70" w:before="240"/>
      </w:pPr>
      <w:r>
        <w:rPr>
          <w:b/>
          <w:bCs/>
          <w:color w:val="1F4E5F"/>
          <w:sz w:val="23"/>
          <w:szCs w:val="23"/>
        </w:rPr>
        <w:t xml:space="preserve">Montney — Alberta side</w:t>
      </w:r>
    </w:p>
    <w:p>
      <w:pPr>
        <w:spacing w:after="110"/>
      </w:pPr>
      <w:r>
        <w:rPr>
          <w:i w:val="false"/>
          <w:iCs w:val="false"/>
          <w:sz w:val="19"/>
          <w:szCs w:val="19"/>
        </w:rPr>
        <w:t xml:space="preserve">Grande Prairie, Kakwa, Wapiti, Pipestone. Liquids-rich: the condensate is worth more than the gas, and it is the condensate that makes these wells work. It prices as C5+ at Edmonton — pentanes plus, quoted against WTI — which is a different stream from Edmonton Light Sweet, the light crude benchmark. C5+ often trades at or above WTI because it is the diluent blended into bitumen, so Montney condensate economics depend on oil sands growth. The BC side — Groundbirch, Dawson Creek, Fort St John — is drier and not captured here.</w:t>
      </w:r>
    </w:p>
    <w:p>
      <w:pPr>
        <w:shd w:fill="EEF3F6" w:val="clear"/>
        <w:spacing w:after="100" w:before="40"/>
      </w:pPr>
      <w:r>
        <w:rPr>
          <w:b/>
          <w:bCs/>
          <w:color w:val="1F4E5F"/>
          <w:sz w:val="19"/>
          <w:szCs w:val="19"/>
        </w:rPr>
        <w:t xml:space="preserve">  950,438 boe/d  —  4,678 MMcf/d gas · 52,930 b/d condensate · 117,850 b/d oil  ·  82%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Ovintiv</w:t>
            </w:r>
          </w:p>
        </w:tc>
        <w:tc>
          <w:tcPr>
            <w:tcW w:type="dxa" w:w="1900"/>
            <w:tcMar>
              <w:top w:type="dxa" w:w="45"/>
              <w:left w:type="dxa" w:w="110"/>
              <w:bottom w:type="dxa" w:w="45"/>
              <w:right w:type="dxa" w:w="110"/>
            </w:tcMar>
          </w:tcPr>
          <w:p>
            <w:pPr>
              <w:jc w:val="right"/>
            </w:pPr>
            <w:r>
              <w:rPr>
                <w:sz w:val="17"/>
                <w:szCs w:val="17"/>
              </w:rPr>
              <w:t xml:space="preserve">963</w:t>
            </w:r>
          </w:p>
        </w:tc>
      </w:tr>
      <w:tr>
        <w:tc>
          <w:tcPr>
            <w:tcW w:type="dxa" w:w="5100"/>
            <w:shd w:fill="F8FAFB" w:val="clear"/>
            <w:tcMar>
              <w:top w:type="dxa" w:w="45"/>
              <w:left w:type="dxa" w:w="110"/>
              <w:bottom w:type="dxa" w:w="45"/>
              <w:right w:type="dxa" w:w="110"/>
            </w:tcMar>
          </w:tcPr>
          <w:p>
            <w:pPr>
              <w:jc w:val="left"/>
            </w:pPr>
            <w:r>
              <w:rPr>
                <w:sz w:val="17"/>
                <w:szCs w:val="17"/>
              </w:rPr>
              <w:t xml:space="preserve">Canadian Natural</w:t>
            </w:r>
          </w:p>
        </w:tc>
        <w:tc>
          <w:tcPr>
            <w:tcW w:type="dxa" w:w="1900"/>
            <w:shd w:fill="F8FAFB" w:val="clear"/>
            <w:tcMar>
              <w:top w:type="dxa" w:w="45"/>
              <w:left w:type="dxa" w:w="110"/>
              <w:bottom w:type="dxa" w:w="45"/>
              <w:right w:type="dxa" w:w="110"/>
            </w:tcMar>
          </w:tcPr>
          <w:p>
            <w:pPr>
              <w:jc w:val="right"/>
            </w:pPr>
            <w:r>
              <w:rPr>
                <w:sz w:val="17"/>
                <w:szCs w:val="17"/>
              </w:rPr>
              <w:t xml:space="preserve">841</w:t>
            </w:r>
          </w:p>
        </w:tc>
      </w:tr>
      <w:tr>
        <w:tc>
          <w:tcPr>
            <w:tcW w:type="dxa" w:w="5100"/>
            <w:tcMar>
              <w:top w:type="dxa" w:w="45"/>
              <w:left w:type="dxa" w:w="110"/>
              <w:bottom w:type="dxa" w:w="45"/>
              <w:right w:type="dxa" w:w="110"/>
            </w:tcMar>
          </w:tcPr>
          <w:p>
            <w:pPr>
              <w:jc w:val="left"/>
            </w:pPr>
            <w:r>
              <w:rPr>
                <w:sz w:val="17"/>
                <w:szCs w:val="17"/>
              </w:rPr>
              <w:t xml:space="preserve">Tourmaline</w:t>
            </w:r>
          </w:p>
        </w:tc>
        <w:tc>
          <w:tcPr>
            <w:tcW w:type="dxa" w:w="1900"/>
            <w:tcMar>
              <w:top w:type="dxa" w:w="45"/>
              <w:left w:type="dxa" w:w="110"/>
              <w:bottom w:type="dxa" w:w="45"/>
              <w:right w:type="dxa" w:w="110"/>
            </w:tcMar>
          </w:tcPr>
          <w:p>
            <w:pPr>
              <w:jc w:val="right"/>
            </w:pPr>
            <w:r>
              <w:rPr>
                <w:sz w:val="17"/>
                <w:szCs w:val="17"/>
              </w:rPr>
              <w:t xml:space="preserve">611</w:t>
            </w:r>
          </w:p>
        </w:tc>
      </w:tr>
      <w:tr>
        <w:tc>
          <w:tcPr>
            <w:tcW w:type="dxa" w:w="5100"/>
            <w:shd w:fill="F8FAFB" w:val="clear"/>
            <w:tcMar>
              <w:top w:type="dxa" w:w="45"/>
              <w:left w:type="dxa" w:w="110"/>
              <w:bottom w:type="dxa" w:w="45"/>
              <w:right w:type="dxa" w:w="110"/>
            </w:tcMar>
          </w:tcPr>
          <w:p>
            <w:pPr>
              <w:jc w:val="left"/>
            </w:pPr>
            <w:r>
              <w:rPr>
                <w:sz w:val="17"/>
                <w:szCs w:val="17"/>
              </w:rPr>
              <w:t xml:space="preserve">ARC Resources</w:t>
            </w:r>
          </w:p>
        </w:tc>
        <w:tc>
          <w:tcPr>
            <w:tcW w:type="dxa" w:w="1900"/>
            <w:shd w:fill="F8FAFB" w:val="clear"/>
            <w:tcMar>
              <w:top w:type="dxa" w:w="45"/>
              <w:left w:type="dxa" w:w="110"/>
              <w:bottom w:type="dxa" w:w="45"/>
              <w:right w:type="dxa" w:w="110"/>
            </w:tcMar>
          </w:tcPr>
          <w:p>
            <w:pPr>
              <w:jc w:val="right"/>
            </w:pPr>
            <w:r>
              <w:rPr>
                <w:sz w:val="17"/>
                <w:szCs w:val="17"/>
              </w:rPr>
              <w:t xml:space="preserve">550</w:t>
            </w:r>
          </w:p>
        </w:tc>
      </w:tr>
      <w:tr>
        <w:tc>
          <w:tcPr>
            <w:tcW w:type="dxa" w:w="5100"/>
            <w:tcMar>
              <w:top w:type="dxa" w:w="45"/>
              <w:left w:type="dxa" w:w="110"/>
              <w:bottom w:type="dxa" w:w="45"/>
              <w:right w:type="dxa" w:w="110"/>
            </w:tcMar>
          </w:tcPr>
          <w:p>
            <w:pPr>
              <w:jc w:val="left"/>
            </w:pPr>
            <w:r>
              <w:rPr>
                <w:sz w:val="17"/>
                <w:szCs w:val="17"/>
              </w:rPr>
              <w:t xml:space="preserve">Whitecap</w:t>
            </w:r>
          </w:p>
        </w:tc>
        <w:tc>
          <w:tcPr>
            <w:tcW w:type="dxa" w:w="1900"/>
            <w:tcMar>
              <w:top w:type="dxa" w:w="45"/>
              <w:left w:type="dxa" w:w="110"/>
              <w:bottom w:type="dxa" w:w="45"/>
              <w:right w:type="dxa" w:w="110"/>
            </w:tcMar>
          </w:tcPr>
          <w:p>
            <w:pPr>
              <w:jc w:val="right"/>
            </w:pPr>
            <w:r>
              <w:rPr>
                <w:sz w:val="17"/>
                <w:szCs w:val="17"/>
              </w:rPr>
              <w:t xml:space="preserve">395</w:t>
            </w:r>
          </w:p>
        </w:tc>
      </w:tr>
      <w:tr>
        <w:tc>
          <w:tcPr>
            <w:tcW w:type="dxa" w:w="5100"/>
            <w:shd w:fill="F8FAFB" w:val="clear"/>
            <w:tcMar>
              <w:top w:type="dxa" w:w="45"/>
              <w:left w:type="dxa" w:w="110"/>
              <w:bottom w:type="dxa" w:w="45"/>
              <w:right w:type="dxa" w:w="110"/>
            </w:tcMar>
          </w:tcPr>
          <w:p>
            <w:pPr>
              <w:jc w:val="left"/>
            </w:pPr>
            <w:r>
              <w:rPr>
                <w:sz w:val="17"/>
                <w:szCs w:val="17"/>
              </w:rPr>
              <w:t xml:space="preserve">Birchcliff</w:t>
            </w:r>
          </w:p>
        </w:tc>
        <w:tc>
          <w:tcPr>
            <w:tcW w:type="dxa" w:w="1900"/>
            <w:shd w:fill="F8FAFB" w:val="clear"/>
            <w:tcMar>
              <w:top w:type="dxa" w:w="45"/>
              <w:left w:type="dxa" w:w="110"/>
              <w:bottom w:type="dxa" w:w="45"/>
              <w:right w:type="dxa" w:w="110"/>
            </w:tcMar>
          </w:tcPr>
          <w:p>
            <w:pPr>
              <w:jc w:val="right"/>
            </w:pPr>
            <w:r>
              <w:rPr>
                <w:sz w:val="17"/>
                <w:szCs w:val="17"/>
              </w:rPr>
              <w:t xml:space="preserve">361</w:t>
            </w:r>
          </w:p>
        </w:tc>
      </w:tr>
    </w:tbl>
    <w:p>
      <w:pPr>
        <w:spacing w:after="110"/>
      </w:pPr>
      <w:r>
        <w:rPr>
          <w:i w:val="false"/>
          <w:iCs w:val="false"/>
          <w:color w:val="6B7280"/>
          <w:sz w:val="19"/>
          <w:szCs w:val="19"/>
        </w:rPr>
        <w:t xml:space="preserve">Also NuVista (Wapiti/Pipestone), Kelt and Paramount. On the BC side, Petronas and Shell tied to LNG Canada.</w:t>
      </w:r>
    </w:p>
    <w:p>
      <w:pPr>
        <w:pStyle w:val="Heading2"/>
        <w:spacing w:after="70" w:before="240"/>
      </w:pPr>
      <w:r>
        <w:rPr>
          <w:b/>
          <w:bCs/>
          <w:color w:val="1F4E5F"/>
          <w:sz w:val="23"/>
          <w:szCs w:val="23"/>
        </w:rPr>
        <w:t xml:space="preserve">Deep Basin — Wapiti to Edson</w:t>
      </w:r>
    </w:p>
    <w:p>
      <w:pPr>
        <w:spacing w:after="110"/>
      </w:pPr>
      <w:r>
        <w:rPr>
          <w:i w:val="false"/>
          <w:iCs w:val="false"/>
          <w:sz w:val="19"/>
          <w:szCs w:val="19"/>
        </w:rPr>
        <w:t xml:space="preserve">West-central Alberta tight gas. Spirit River, Wilrich and Falher are geological formations stacked vertically, so one surface location can access several targets — that is where the cost advantage comes from. Lower decline and lower cost than the Montney but less liquids. Peyto is the pure play and the standard reference for a low-cost operator.</w:t>
      </w:r>
    </w:p>
    <w:p>
      <w:pPr>
        <w:shd w:fill="EEF3F6" w:val="clear"/>
        <w:spacing w:after="100" w:before="40"/>
      </w:pPr>
      <w:r>
        <w:rPr>
          <w:b/>
          <w:bCs/>
          <w:color w:val="1F4E5F"/>
          <w:sz w:val="19"/>
          <w:szCs w:val="19"/>
        </w:rPr>
        <w:t xml:space="preserve">  502,205 boe/d  —  2,827 MMcf/d gas · 9,977 b/d condensate · 21,032 b/d oil  ·  94%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Tourmaline</w:t>
            </w:r>
          </w:p>
        </w:tc>
        <w:tc>
          <w:tcPr>
            <w:tcW w:type="dxa" w:w="1900"/>
            <w:tcMar>
              <w:top w:type="dxa" w:w="45"/>
              <w:left w:type="dxa" w:w="110"/>
              <w:bottom w:type="dxa" w:w="45"/>
              <w:right w:type="dxa" w:w="110"/>
            </w:tcMar>
          </w:tcPr>
          <w:p>
            <w:pPr>
              <w:jc w:val="right"/>
            </w:pPr>
            <w:r>
              <w:rPr>
                <w:sz w:val="17"/>
                <w:szCs w:val="17"/>
              </w:rPr>
              <w:t xml:space="preserve">697</w:t>
            </w:r>
          </w:p>
        </w:tc>
      </w:tr>
      <w:tr>
        <w:tc>
          <w:tcPr>
            <w:tcW w:type="dxa" w:w="5100"/>
            <w:shd w:fill="F8FAFB" w:val="clear"/>
            <w:tcMar>
              <w:top w:type="dxa" w:w="45"/>
              <w:left w:type="dxa" w:w="110"/>
              <w:bottom w:type="dxa" w:w="45"/>
              <w:right w:type="dxa" w:w="110"/>
            </w:tcMar>
          </w:tcPr>
          <w:p>
            <w:pPr>
              <w:jc w:val="left"/>
            </w:pPr>
            <w:r>
              <w:rPr>
                <w:sz w:val="17"/>
                <w:szCs w:val="17"/>
              </w:rPr>
              <w:t xml:space="preserve">Peyto</w:t>
            </w:r>
          </w:p>
        </w:tc>
        <w:tc>
          <w:tcPr>
            <w:tcW w:type="dxa" w:w="1900"/>
            <w:shd w:fill="F8FAFB" w:val="clear"/>
            <w:tcMar>
              <w:top w:type="dxa" w:w="45"/>
              <w:left w:type="dxa" w:w="110"/>
              <w:bottom w:type="dxa" w:w="45"/>
              <w:right w:type="dxa" w:w="110"/>
            </w:tcMar>
          </w:tcPr>
          <w:p>
            <w:pPr>
              <w:jc w:val="right"/>
            </w:pPr>
            <w:r>
              <w:rPr>
                <w:sz w:val="17"/>
                <w:szCs w:val="17"/>
              </w:rPr>
              <w:t xml:space="preserve">539</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459</w:t>
            </w:r>
          </w:p>
        </w:tc>
      </w:tr>
      <w:tr>
        <w:tc>
          <w:tcPr>
            <w:tcW w:type="dxa" w:w="5100"/>
            <w:shd w:fill="F8FAFB" w:val="clear"/>
            <w:tcMar>
              <w:top w:type="dxa" w:w="45"/>
              <w:left w:type="dxa" w:w="110"/>
              <w:bottom w:type="dxa" w:w="45"/>
              <w:right w:type="dxa" w:w="110"/>
            </w:tcMar>
          </w:tcPr>
          <w:p>
            <w:pPr>
              <w:jc w:val="left"/>
            </w:pPr>
            <w:r>
              <w:rPr>
                <w:sz w:val="17"/>
                <w:szCs w:val="17"/>
              </w:rPr>
              <w:t xml:space="preserve">Whitecap</w:t>
            </w:r>
          </w:p>
        </w:tc>
        <w:tc>
          <w:tcPr>
            <w:tcW w:type="dxa" w:w="1900"/>
            <w:shd w:fill="F8FAFB" w:val="clear"/>
            <w:tcMar>
              <w:top w:type="dxa" w:w="45"/>
              <w:left w:type="dxa" w:w="110"/>
              <w:bottom w:type="dxa" w:w="45"/>
              <w:right w:type="dxa" w:w="110"/>
            </w:tcMar>
          </w:tcPr>
          <w:p>
            <w:pPr>
              <w:jc w:val="right"/>
            </w:pPr>
            <w:r>
              <w:rPr>
                <w:sz w:val="17"/>
                <w:szCs w:val="17"/>
              </w:rPr>
              <w:t xml:space="preserve">261</w:t>
            </w:r>
          </w:p>
        </w:tc>
      </w:tr>
      <w:tr>
        <w:tc>
          <w:tcPr>
            <w:tcW w:type="dxa" w:w="5100"/>
            <w:tcMar>
              <w:top w:type="dxa" w:w="45"/>
              <w:left w:type="dxa" w:w="110"/>
              <w:bottom w:type="dxa" w:w="45"/>
              <w:right w:type="dxa" w:w="110"/>
            </w:tcMar>
          </w:tcPr>
          <w:p>
            <w:pPr>
              <w:jc w:val="left"/>
            </w:pPr>
            <w:r>
              <w:rPr>
                <w:sz w:val="17"/>
                <w:szCs w:val="17"/>
              </w:rPr>
              <w:t xml:space="preserve">Cenovus</w:t>
            </w:r>
          </w:p>
        </w:tc>
        <w:tc>
          <w:tcPr>
            <w:tcW w:type="dxa" w:w="1900"/>
            <w:tcMar>
              <w:top w:type="dxa" w:w="45"/>
              <w:left w:type="dxa" w:w="110"/>
              <w:bottom w:type="dxa" w:w="45"/>
              <w:right w:type="dxa" w:w="110"/>
            </w:tcMar>
          </w:tcPr>
          <w:p>
            <w:pPr>
              <w:jc w:val="right"/>
            </w:pPr>
            <w:r>
              <w:rPr>
                <w:sz w:val="17"/>
                <w:szCs w:val="17"/>
              </w:rPr>
              <w:t xml:space="preserve">154</w:t>
            </w:r>
          </w:p>
        </w:tc>
      </w:tr>
      <w:tr>
        <w:tc>
          <w:tcPr>
            <w:tcW w:type="dxa" w:w="5100"/>
            <w:shd w:fill="F8FAFB" w:val="clear"/>
            <w:tcMar>
              <w:top w:type="dxa" w:w="45"/>
              <w:left w:type="dxa" w:w="110"/>
              <w:bottom w:type="dxa" w:w="45"/>
              <w:right w:type="dxa" w:w="110"/>
            </w:tcMar>
          </w:tcPr>
          <w:p>
            <w:pPr>
              <w:jc w:val="left"/>
            </w:pPr>
            <w:r>
              <w:rPr>
                <w:sz w:val="17"/>
                <w:szCs w:val="17"/>
              </w:rPr>
              <w:t xml:space="preserve">Vermilion</w:t>
            </w:r>
          </w:p>
        </w:tc>
        <w:tc>
          <w:tcPr>
            <w:tcW w:type="dxa" w:w="1900"/>
            <w:shd w:fill="F8FAFB" w:val="clear"/>
            <w:tcMar>
              <w:top w:type="dxa" w:w="45"/>
              <w:left w:type="dxa" w:w="110"/>
              <w:bottom w:type="dxa" w:w="45"/>
              <w:right w:type="dxa" w:w="110"/>
            </w:tcMar>
          </w:tcPr>
          <w:p>
            <w:pPr>
              <w:jc w:val="right"/>
            </w:pPr>
            <w:r>
              <w:rPr>
                <w:sz w:val="17"/>
                <w:szCs w:val="17"/>
              </w:rPr>
              <w:t xml:space="preserve">147</w:t>
            </w:r>
          </w:p>
        </w:tc>
      </w:tr>
    </w:tbl>
    <w:p>
      <w:pPr>
        <w:spacing w:after="110"/>
      </w:pPr>
      <w:r>
        <w:rPr>
          <w:i w:val="false"/>
          <w:iCs w:val="false"/>
          <w:color w:val="6B7280"/>
          <w:sz w:val="19"/>
          <w:szCs w:val="19"/>
        </w:rPr>
        <w:t xml:space="preserve">The Duvernay — Kaybob, Fox Creek, Willesden Green — sits beneath this same area and cannot be separated geographically. Chevron, Ovintiv and CNRL are the Duvernay names.</w:t>
      </w:r>
    </w:p>
    <w:p>
      <w:pPr>
        <w:pStyle w:val="Heading2"/>
        <w:spacing w:after="70" w:before="240"/>
      </w:pPr>
      <w:r>
        <w:rPr>
          <w:b/>
          <w:bCs/>
          <w:color w:val="1F4E5F"/>
          <w:sz w:val="23"/>
          <w:szCs w:val="23"/>
        </w:rPr>
        <w:t xml:space="preserve">Cardium and central foothills</w:t>
      </w:r>
    </w:p>
    <w:p>
      <w:pPr>
        <w:spacing w:after="110"/>
      </w:pPr>
      <w:r>
        <w:rPr>
          <w:i w:val="false"/>
          <w:iCs w:val="false"/>
          <w:sz w:val="19"/>
          <w:szCs w:val="19"/>
        </w:rPr>
        <w:t xml:space="preserve">Pembina and Willesden Green. Mature, heavily drilled light oil with associated gas. The box also picks up shallower gas, so treat the gas figure as the area rather than the Cardium formation.</w:t>
      </w:r>
    </w:p>
    <w:p>
      <w:pPr>
        <w:shd w:fill="EEF3F6" w:val="clear"/>
        <w:spacing w:after="100" w:before="40"/>
      </w:pPr>
      <w:r>
        <w:rPr>
          <w:b/>
          <w:bCs/>
          <w:color w:val="1F4E5F"/>
          <w:sz w:val="19"/>
          <w:szCs w:val="19"/>
        </w:rPr>
        <w:t xml:space="preserve">  318,603 boe/d  —  1,539 MMcf/d gas · 60,601 b/d oil · 1,465 b/d condensate  ·  81%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TAQA North</w:t>
            </w:r>
          </w:p>
        </w:tc>
        <w:tc>
          <w:tcPr>
            <w:tcW w:type="dxa" w:w="1900"/>
            <w:tcMar>
              <w:top w:type="dxa" w:w="45"/>
              <w:left w:type="dxa" w:w="110"/>
              <w:bottom w:type="dxa" w:w="45"/>
              <w:right w:type="dxa" w:w="110"/>
            </w:tcMar>
          </w:tcPr>
          <w:p>
            <w:pPr>
              <w:jc w:val="right"/>
            </w:pPr>
            <w:r>
              <w:rPr>
                <w:sz w:val="17"/>
                <w:szCs w:val="17"/>
              </w:rPr>
              <w:t xml:space="preserve">224</w:t>
            </w:r>
          </w:p>
        </w:tc>
      </w:tr>
      <w:tr>
        <w:tc>
          <w:tcPr>
            <w:tcW w:type="dxa" w:w="5100"/>
            <w:shd w:fill="F8FAFB" w:val="clear"/>
            <w:tcMar>
              <w:top w:type="dxa" w:w="45"/>
              <w:left w:type="dxa" w:w="110"/>
              <w:bottom w:type="dxa" w:w="45"/>
              <w:right w:type="dxa" w:w="110"/>
            </w:tcMar>
          </w:tcPr>
          <w:p>
            <w:pPr>
              <w:jc w:val="left"/>
            </w:pPr>
            <w:r>
              <w:rPr>
                <w:sz w:val="17"/>
                <w:szCs w:val="17"/>
              </w:rPr>
              <w:t xml:space="preserve">Spartan Delta</w:t>
            </w:r>
          </w:p>
        </w:tc>
        <w:tc>
          <w:tcPr>
            <w:tcW w:type="dxa" w:w="1900"/>
            <w:shd w:fill="F8FAFB" w:val="clear"/>
            <w:tcMar>
              <w:top w:type="dxa" w:w="45"/>
              <w:left w:type="dxa" w:w="110"/>
              <w:bottom w:type="dxa" w:w="45"/>
              <w:right w:type="dxa" w:w="110"/>
            </w:tcMar>
          </w:tcPr>
          <w:p>
            <w:pPr>
              <w:jc w:val="right"/>
            </w:pPr>
            <w:r>
              <w:rPr>
                <w:sz w:val="17"/>
                <w:szCs w:val="17"/>
              </w:rPr>
              <w:t xml:space="preserve">186</w:t>
            </w:r>
          </w:p>
        </w:tc>
      </w:tr>
      <w:tr>
        <w:tc>
          <w:tcPr>
            <w:tcW w:type="dxa" w:w="5100"/>
            <w:tcMar>
              <w:top w:type="dxa" w:w="45"/>
              <w:left w:type="dxa" w:w="110"/>
              <w:bottom w:type="dxa" w:w="45"/>
              <w:right w:type="dxa" w:w="110"/>
            </w:tcMar>
          </w:tcPr>
          <w:p>
            <w:pPr>
              <w:jc w:val="left"/>
            </w:pPr>
            <w:r>
              <w:rPr>
                <w:sz w:val="17"/>
                <w:szCs w:val="17"/>
              </w:rPr>
              <w:t xml:space="preserve">Tourmaline</w:t>
            </w:r>
          </w:p>
        </w:tc>
        <w:tc>
          <w:tcPr>
            <w:tcW w:type="dxa" w:w="1900"/>
            <w:tcMar>
              <w:top w:type="dxa" w:w="45"/>
              <w:left w:type="dxa" w:w="110"/>
              <w:bottom w:type="dxa" w:w="45"/>
              <w:right w:type="dxa" w:w="110"/>
            </w:tcMar>
          </w:tcPr>
          <w:p>
            <w:pPr>
              <w:jc w:val="right"/>
            </w:pPr>
            <w:r>
              <w:rPr>
                <w:sz w:val="17"/>
                <w:szCs w:val="17"/>
              </w:rPr>
              <w:t xml:space="preserve">154</w:t>
            </w:r>
          </w:p>
        </w:tc>
      </w:tr>
      <w:tr>
        <w:tc>
          <w:tcPr>
            <w:tcW w:type="dxa" w:w="5100"/>
            <w:shd w:fill="F8FAFB" w:val="clear"/>
            <w:tcMar>
              <w:top w:type="dxa" w:w="45"/>
              <w:left w:type="dxa" w:w="110"/>
              <w:bottom w:type="dxa" w:w="45"/>
              <w:right w:type="dxa" w:w="110"/>
            </w:tcMar>
          </w:tcPr>
          <w:p>
            <w:pPr>
              <w:jc w:val="left"/>
            </w:pPr>
            <w:r>
              <w:rPr>
                <w:sz w:val="17"/>
                <w:szCs w:val="17"/>
              </w:rPr>
              <w:t xml:space="preserve">Vermilion</w:t>
            </w:r>
          </w:p>
        </w:tc>
        <w:tc>
          <w:tcPr>
            <w:tcW w:type="dxa" w:w="1900"/>
            <w:shd w:fill="F8FAFB" w:val="clear"/>
            <w:tcMar>
              <w:top w:type="dxa" w:w="45"/>
              <w:left w:type="dxa" w:w="110"/>
              <w:bottom w:type="dxa" w:w="45"/>
              <w:right w:type="dxa" w:w="110"/>
            </w:tcMar>
          </w:tcPr>
          <w:p>
            <w:pPr>
              <w:jc w:val="right"/>
            </w:pPr>
            <w:r>
              <w:rPr>
                <w:sz w:val="17"/>
                <w:szCs w:val="17"/>
              </w:rPr>
              <w:t xml:space="preserve">142</w:t>
            </w:r>
          </w:p>
        </w:tc>
      </w:tr>
      <w:tr>
        <w:tc>
          <w:tcPr>
            <w:tcW w:type="dxa" w:w="5100"/>
            <w:tcMar>
              <w:top w:type="dxa" w:w="45"/>
              <w:left w:type="dxa" w:w="110"/>
              <w:bottom w:type="dxa" w:w="45"/>
              <w:right w:type="dxa" w:w="110"/>
            </w:tcMar>
          </w:tcPr>
          <w:p>
            <w:pPr>
              <w:jc w:val="left"/>
            </w:pPr>
            <w:r>
              <w:rPr>
                <w:sz w:val="17"/>
                <w:szCs w:val="17"/>
              </w:rPr>
              <w:t xml:space="preserve">Peyto</w:t>
            </w:r>
          </w:p>
        </w:tc>
        <w:tc>
          <w:tcPr>
            <w:tcW w:type="dxa" w:w="1900"/>
            <w:tcMar>
              <w:top w:type="dxa" w:w="45"/>
              <w:left w:type="dxa" w:w="110"/>
              <w:bottom w:type="dxa" w:w="45"/>
              <w:right w:type="dxa" w:w="110"/>
            </w:tcMar>
          </w:tcPr>
          <w:p>
            <w:pPr>
              <w:jc w:val="right"/>
            </w:pPr>
            <w:r>
              <w:rPr>
                <w:sz w:val="17"/>
                <w:szCs w:val="17"/>
              </w:rPr>
              <w:t xml:space="preserve">103</w:t>
            </w:r>
          </w:p>
        </w:tc>
      </w:tr>
      <w:tr>
        <w:tc>
          <w:tcPr>
            <w:tcW w:type="dxa" w:w="5100"/>
            <w:shd w:fill="F8FAFB" w:val="clear"/>
            <w:tcMar>
              <w:top w:type="dxa" w:w="45"/>
              <w:left w:type="dxa" w:w="110"/>
              <w:bottom w:type="dxa" w:w="45"/>
              <w:right w:type="dxa" w:w="110"/>
            </w:tcMar>
          </w:tcPr>
          <w:p>
            <w:pPr>
              <w:jc w:val="left"/>
            </w:pPr>
            <w:r>
              <w:rPr>
                <w:sz w:val="17"/>
                <w:szCs w:val="17"/>
              </w:rPr>
              <w:t xml:space="preserve">Cenovus</w:t>
            </w:r>
          </w:p>
        </w:tc>
        <w:tc>
          <w:tcPr>
            <w:tcW w:type="dxa" w:w="1900"/>
            <w:shd w:fill="F8FAFB" w:val="clear"/>
            <w:tcMar>
              <w:top w:type="dxa" w:w="45"/>
              <w:left w:type="dxa" w:w="110"/>
              <w:bottom w:type="dxa" w:w="45"/>
              <w:right w:type="dxa" w:w="110"/>
            </w:tcMar>
          </w:tcPr>
          <w:p>
            <w:pPr>
              <w:jc w:val="right"/>
            </w:pPr>
            <w:r>
              <w:rPr>
                <w:sz w:val="17"/>
                <w:szCs w:val="17"/>
              </w:rPr>
              <w:t xml:space="preserve">85</w:t>
            </w:r>
          </w:p>
        </w:tc>
      </w:tr>
    </w:tbl>
    <w:p>
      <w:pPr>
        <w:spacing w:after="110"/>
      </w:pPr>
      <w:r>
        <w:rPr>
          <w:i w:val="false"/>
          <w:iCs w:val="false"/>
          <w:color w:val="6B7280"/>
          <w:sz w:val="19"/>
          <w:szCs w:val="19"/>
        </w:rPr>
        <w:t xml:space="preserve">On the oil side: Whitecap, Obsidian, InPlay, Cardinal, Aspenleaf, Yangarra.</w:t>
      </w:r>
    </w:p>
    <w:p>
      <w:pPr>
        <w:pStyle w:val="Heading2"/>
        <w:spacing w:after="70" w:before="240"/>
      </w:pPr>
      <w:r>
        <w:rPr>
          <w:b/>
          <w:bCs/>
          <w:color w:val="1F4E5F"/>
          <w:sz w:val="23"/>
          <w:szCs w:val="23"/>
        </w:rPr>
        <w:t xml:space="preserve">Mannville CBM and shallow gas — central Alberta</w:t>
      </w:r>
    </w:p>
    <w:p>
      <w:pPr>
        <w:spacing w:after="110"/>
      </w:pPr>
      <w:r>
        <w:rPr>
          <w:i w:val="false"/>
          <w:iCs w:val="false"/>
          <w:sz w:val="19"/>
          <w:szCs w:val="19"/>
        </w:rPr>
        <w:t xml:space="preserve">Very low rate per well, enormous well count, minimal decline. This is the long tail in the data: 84% of Alberta wells produce under 0.1 MMcf/d. Ember is the pure play and takes 0% of its production from new wells — pure harvest mode, no drilling.</w:t>
      </w:r>
    </w:p>
    <w:p>
      <w:pPr>
        <w:shd w:fill="EEF3F6" w:val="clear"/>
        <w:spacing w:after="100" w:before="40"/>
      </w:pPr>
      <w:r>
        <w:rPr>
          <w:b/>
          <w:bCs/>
          <w:color w:val="1F4E5F"/>
          <w:sz w:val="19"/>
          <w:szCs w:val="19"/>
        </w:rPr>
        <w:t xml:space="preserve">  235,506 boe/d  —  957 MMcf/d gas · 73,240 b/d oil  ·  68%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Ember Resources</w:t>
            </w:r>
          </w:p>
        </w:tc>
        <w:tc>
          <w:tcPr>
            <w:tcW w:type="dxa" w:w="1900"/>
            <w:tcMar>
              <w:top w:type="dxa" w:w="45"/>
              <w:left w:type="dxa" w:w="110"/>
              <w:bottom w:type="dxa" w:w="45"/>
              <w:right w:type="dxa" w:w="110"/>
            </w:tcMar>
          </w:tcPr>
          <w:p>
            <w:pPr>
              <w:jc w:val="right"/>
            </w:pPr>
            <w:r>
              <w:rPr>
                <w:sz w:val="17"/>
                <w:szCs w:val="17"/>
              </w:rPr>
              <w:t xml:space="preserve">182</w:t>
            </w:r>
          </w:p>
        </w:tc>
      </w:tr>
      <w:tr>
        <w:tc>
          <w:tcPr>
            <w:tcW w:type="dxa" w:w="5100"/>
            <w:shd w:fill="F8FAFB" w:val="clear"/>
            <w:tcMar>
              <w:top w:type="dxa" w:w="45"/>
              <w:left w:type="dxa" w:w="110"/>
              <w:bottom w:type="dxa" w:w="45"/>
              <w:right w:type="dxa" w:w="110"/>
            </w:tcMar>
          </w:tcPr>
          <w:p>
            <w:pPr>
              <w:jc w:val="left"/>
            </w:pPr>
            <w:r>
              <w:rPr>
                <w:sz w:val="17"/>
                <w:szCs w:val="17"/>
              </w:rPr>
              <w:t xml:space="preserve">Whitecap</w:t>
            </w:r>
          </w:p>
        </w:tc>
        <w:tc>
          <w:tcPr>
            <w:tcW w:type="dxa" w:w="1900"/>
            <w:shd w:fill="F8FAFB" w:val="clear"/>
            <w:tcMar>
              <w:top w:type="dxa" w:w="45"/>
              <w:left w:type="dxa" w:w="110"/>
              <w:bottom w:type="dxa" w:w="45"/>
              <w:right w:type="dxa" w:w="110"/>
            </w:tcMar>
          </w:tcPr>
          <w:p>
            <w:pPr>
              <w:jc w:val="right"/>
            </w:pPr>
            <w:r>
              <w:rPr>
                <w:sz w:val="17"/>
                <w:szCs w:val="17"/>
              </w:rPr>
              <w:t xml:space="preserve">146</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136</w:t>
            </w:r>
          </w:p>
        </w:tc>
      </w:tr>
      <w:tr>
        <w:tc>
          <w:tcPr>
            <w:tcW w:type="dxa" w:w="5100"/>
            <w:shd w:fill="F8FAFB" w:val="clear"/>
            <w:tcMar>
              <w:top w:type="dxa" w:w="45"/>
              <w:left w:type="dxa" w:w="110"/>
              <w:bottom w:type="dxa" w:w="45"/>
              <w:right w:type="dxa" w:w="110"/>
            </w:tcMar>
          </w:tcPr>
          <w:p>
            <w:pPr>
              <w:jc w:val="left"/>
            </w:pPr>
            <w:r>
              <w:rPr>
                <w:sz w:val="17"/>
                <w:szCs w:val="17"/>
              </w:rPr>
              <w:t xml:space="preserve">Lynx Energy</w:t>
            </w:r>
          </w:p>
        </w:tc>
        <w:tc>
          <w:tcPr>
            <w:tcW w:type="dxa" w:w="1900"/>
            <w:shd w:fill="F8FAFB" w:val="clear"/>
            <w:tcMar>
              <w:top w:type="dxa" w:w="45"/>
              <w:left w:type="dxa" w:w="110"/>
              <w:bottom w:type="dxa" w:w="45"/>
              <w:right w:type="dxa" w:w="110"/>
            </w:tcMar>
          </w:tcPr>
          <w:p>
            <w:pPr>
              <w:jc w:val="right"/>
            </w:pPr>
            <w:r>
              <w:rPr>
                <w:sz w:val="17"/>
                <w:szCs w:val="17"/>
              </w:rPr>
              <w:t xml:space="preserve">72</w:t>
            </w:r>
          </w:p>
        </w:tc>
      </w:tr>
      <w:tr>
        <w:tc>
          <w:tcPr>
            <w:tcW w:type="dxa" w:w="5100"/>
            <w:tcMar>
              <w:top w:type="dxa" w:w="45"/>
              <w:left w:type="dxa" w:w="110"/>
              <w:bottom w:type="dxa" w:w="45"/>
              <w:right w:type="dxa" w:w="110"/>
            </w:tcMar>
          </w:tcPr>
          <w:p>
            <w:pPr>
              <w:jc w:val="left"/>
            </w:pPr>
            <w:r>
              <w:rPr>
                <w:sz w:val="17"/>
                <w:szCs w:val="17"/>
              </w:rPr>
              <w:t xml:space="preserve">Pine Cliff</w:t>
            </w:r>
          </w:p>
        </w:tc>
        <w:tc>
          <w:tcPr>
            <w:tcW w:type="dxa" w:w="1900"/>
            <w:tcMar>
              <w:top w:type="dxa" w:w="45"/>
              <w:left w:type="dxa" w:w="110"/>
              <w:bottom w:type="dxa" w:w="45"/>
              <w:right w:type="dxa" w:w="110"/>
            </w:tcMar>
          </w:tcPr>
          <w:p>
            <w:pPr>
              <w:jc w:val="right"/>
            </w:pPr>
            <w:r>
              <w:rPr>
                <w:sz w:val="17"/>
                <w:szCs w:val="17"/>
              </w:rPr>
              <w:t xml:space="preserve">51</w:t>
            </w:r>
          </w:p>
        </w:tc>
      </w:tr>
      <w:tr>
        <w:tc>
          <w:tcPr>
            <w:tcW w:type="dxa" w:w="5100"/>
            <w:shd w:fill="F8FAFB" w:val="clear"/>
            <w:tcMar>
              <w:top w:type="dxa" w:w="45"/>
              <w:left w:type="dxa" w:w="110"/>
              <w:bottom w:type="dxa" w:w="45"/>
              <w:right w:type="dxa" w:w="110"/>
            </w:tcMar>
          </w:tcPr>
          <w:p>
            <w:pPr>
              <w:jc w:val="left"/>
            </w:pPr>
            <w:r>
              <w:rPr>
                <w:sz w:val="17"/>
                <w:szCs w:val="17"/>
              </w:rPr>
              <w:t xml:space="preserve">Tourmaline</w:t>
            </w:r>
          </w:p>
        </w:tc>
        <w:tc>
          <w:tcPr>
            <w:tcW w:type="dxa" w:w="1900"/>
            <w:shd w:fill="F8FAFB" w:val="clear"/>
            <w:tcMar>
              <w:top w:type="dxa" w:w="45"/>
              <w:left w:type="dxa" w:w="110"/>
              <w:bottom w:type="dxa" w:w="45"/>
              <w:right w:type="dxa" w:w="110"/>
            </w:tcMar>
          </w:tcPr>
          <w:p>
            <w:pPr>
              <w:jc w:val="right"/>
            </w:pPr>
            <w:r>
              <w:rPr>
                <w:sz w:val="17"/>
                <w:szCs w:val="17"/>
              </w:rPr>
              <w:t xml:space="preserve">36</w:t>
            </w:r>
          </w:p>
        </w:tc>
      </w:tr>
    </w:tbl>
    <w:p>
      <w:pPr>
        <w:pStyle w:val="Heading2"/>
        <w:spacing w:after="70" w:before="240"/>
      </w:pPr>
      <w:r>
        <w:rPr>
          <w:b/>
          <w:bCs/>
          <w:color w:val="1F4E5F"/>
          <w:sz w:val="23"/>
          <w:szCs w:val="23"/>
        </w:rPr>
        <w:t xml:space="preserve">Southeast Alberta shallow gas</w:t>
      </w:r>
    </w:p>
    <w:p>
      <w:pPr>
        <w:spacing w:after="110"/>
      </w:pPr>
      <w:r>
        <w:rPr>
          <w:i w:val="false"/>
          <w:iCs w:val="false"/>
          <w:sz w:val="19"/>
          <w:szCs w:val="19"/>
        </w:rPr>
        <w:t xml:space="preserve">Medicine Hat and the Lloydminster corridor. Shallow, old, declining, and the reason Alberta has so many low-rate wells.</w:t>
      </w:r>
    </w:p>
    <w:p>
      <w:pPr>
        <w:shd w:fill="EEF3F6" w:val="clear"/>
        <w:spacing w:after="100" w:before="40"/>
      </w:pPr>
      <w:r>
        <w:rPr>
          <w:b/>
          <w:bCs/>
          <w:color w:val="1F4E5F"/>
          <w:sz w:val="19"/>
          <w:szCs w:val="19"/>
        </w:rPr>
        <w:t xml:space="preserve">  112,682 boe/d  —  372 MMcf/d gas · 50,628 b/d oil  ·  55%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MMcf/d</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135</w:t>
            </w:r>
          </w:p>
        </w:tc>
      </w:tr>
      <w:tr>
        <w:tc>
          <w:tcPr>
            <w:tcW w:type="dxa" w:w="5100"/>
            <w:shd w:fill="F8FAFB" w:val="clear"/>
            <w:tcMar>
              <w:top w:type="dxa" w:w="45"/>
              <w:left w:type="dxa" w:w="110"/>
              <w:bottom w:type="dxa" w:w="45"/>
              <w:right w:type="dxa" w:w="110"/>
            </w:tcMar>
          </w:tcPr>
          <w:p>
            <w:pPr>
              <w:jc w:val="left"/>
            </w:pPr>
            <w:r>
              <w:rPr>
                <w:sz w:val="17"/>
                <w:szCs w:val="17"/>
              </w:rPr>
              <w:t xml:space="preserve">IPC Canada</w:t>
            </w:r>
          </w:p>
        </w:tc>
        <w:tc>
          <w:tcPr>
            <w:tcW w:type="dxa" w:w="1900"/>
            <w:shd w:fill="F8FAFB" w:val="clear"/>
            <w:tcMar>
              <w:top w:type="dxa" w:w="45"/>
              <w:left w:type="dxa" w:w="110"/>
              <w:bottom w:type="dxa" w:w="45"/>
              <w:right w:type="dxa" w:w="110"/>
            </w:tcMar>
          </w:tcPr>
          <w:p>
            <w:pPr>
              <w:jc w:val="right"/>
            </w:pPr>
            <w:r>
              <w:rPr>
                <w:sz w:val="17"/>
                <w:szCs w:val="17"/>
              </w:rPr>
              <w:t xml:space="preserve">91</w:t>
            </w:r>
          </w:p>
        </w:tc>
      </w:tr>
      <w:tr>
        <w:tc>
          <w:tcPr>
            <w:tcW w:type="dxa" w:w="5100"/>
            <w:tcMar>
              <w:top w:type="dxa" w:w="45"/>
              <w:left w:type="dxa" w:w="110"/>
              <w:bottom w:type="dxa" w:w="45"/>
              <w:right w:type="dxa" w:w="110"/>
            </w:tcMar>
          </w:tcPr>
          <w:p>
            <w:pPr>
              <w:jc w:val="left"/>
            </w:pPr>
            <w:r>
              <w:rPr>
                <w:sz w:val="17"/>
                <w:szCs w:val="17"/>
              </w:rPr>
              <w:t xml:space="preserve">Canlin Energy</w:t>
            </w:r>
          </w:p>
        </w:tc>
        <w:tc>
          <w:tcPr>
            <w:tcW w:type="dxa" w:w="1900"/>
            <w:tcMar>
              <w:top w:type="dxa" w:w="45"/>
              <w:left w:type="dxa" w:w="110"/>
              <w:bottom w:type="dxa" w:w="45"/>
              <w:right w:type="dxa" w:w="110"/>
            </w:tcMar>
          </w:tcPr>
          <w:p>
            <w:pPr>
              <w:jc w:val="right"/>
            </w:pPr>
            <w:r>
              <w:rPr>
                <w:sz w:val="17"/>
                <w:szCs w:val="17"/>
              </w:rPr>
              <w:t xml:space="preserve">37</w:t>
            </w:r>
          </w:p>
        </w:tc>
      </w:tr>
      <w:tr>
        <w:tc>
          <w:tcPr>
            <w:tcW w:type="dxa" w:w="5100"/>
            <w:shd w:fill="F8FAFB" w:val="clear"/>
            <w:tcMar>
              <w:top w:type="dxa" w:w="45"/>
              <w:left w:type="dxa" w:w="110"/>
              <w:bottom w:type="dxa" w:w="45"/>
              <w:right w:type="dxa" w:w="110"/>
            </w:tcMar>
          </w:tcPr>
          <w:p>
            <w:pPr>
              <w:jc w:val="left"/>
            </w:pPr>
            <w:r>
              <w:rPr>
                <w:sz w:val="17"/>
                <w:szCs w:val="17"/>
              </w:rPr>
              <w:t xml:space="preserve">Rockpoint Gas Storage</w:t>
            </w:r>
          </w:p>
        </w:tc>
        <w:tc>
          <w:tcPr>
            <w:tcW w:type="dxa" w:w="1900"/>
            <w:shd w:fill="F8FAFB" w:val="clear"/>
            <w:tcMar>
              <w:top w:type="dxa" w:w="45"/>
              <w:left w:type="dxa" w:w="110"/>
              <w:bottom w:type="dxa" w:w="45"/>
              <w:right w:type="dxa" w:w="110"/>
            </w:tcMar>
          </w:tcPr>
          <w:p>
            <w:pPr>
              <w:jc w:val="right"/>
            </w:pPr>
            <w:r>
              <w:rPr>
                <w:sz w:val="17"/>
                <w:szCs w:val="17"/>
              </w:rPr>
              <w:t xml:space="preserve">26</w:t>
            </w:r>
          </w:p>
        </w:tc>
      </w:tr>
      <w:tr>
        <w:tc>
          <w:tcPr>
            <w:tcW w:type="dxa" w:w="5100"/>
            <w:tcMar>
              <w:top w:type="dxa" w:w="45"/>
              <w:left w:type="dxa" w:w="110"/>
              <w:bottom w:type="dxa" w:w="45"/>
              <w:right w:type="dxa" w:w="110"/>
            </w:tcMar>
          </w:tcPr>
          <w:p>
            <w:pPr>
              <w:jc w:val="left"/>
            </w:pPr>
            <w:r>
              <w:rPr>
                <w:sz w:val="17"/>
                <w:szCs w:val="17"/>
              </w:rPr>
              <w:t xml:space="preserve">Pine Cliff</w:t>
            </w:r>
          </w:p>
        </w:tc>
        <w:tc>
          <w:tcPr>
            <w:tcW w:type="dxa" w:w="1900"/>
            <w:tcMar>
              <w:top w:type="dxa" w:w="45"/>
              <w:left w:type="dxa" w:w="110"/>
              <w:bottom w:type="dxa" w:w="45"/>
              <w:right w:type="dxa" w:w="110"/>
            </w:tcMar>
          </w:tcPr>
          <w:p>
            <w:pPr>
              <w:jc w:val="right"/>
            </w:pPr>
            <w:r>
              <w:rPr>
                <w:sz w:val="17"/>
                <w:szCs w:val="17"/>
              </w:rPr>
              <w:t xml:space="preserve">20</w:t>
            </w:r>
          </w:p>
        </w:tc>
      </w:tr>
      <w:tr>
        <w:tc>
          <w:tcPr>
            <w:tcW w:type="dxa" w:w="5100"/>
            <w:shd w:fill="F8FAFB" w:val="clear"/>
            <w:tcMar>
              <w:top w:type="dxa" w:w="45"/>
              <w:left w:type="dxa" w:w="110"/>
              <w:bottom w:type="dxa" w:w="45"/>
              <w:right w:type="dxa" w:w="110"/>
            </w:tcMar>
          </w:tcPr>
          <w:p>
            <w:pPr>
              <w:jc w:val="left"/>
            </w:pPr>
            <w:r>
              <w:rPr>
                <w:sz w:val="17"/>
                <w:szCs w:val="17"/>
              </w:rPr>
              <w:t xml:space="preserve">City of Medicine Hat</w:t>
            </w:r>
          </w:p>
        </w:tc>
        <w:tc>
          <w:tcPr>
            <w:tcW w:type="dxa" w:w="1900"/>
            <w:shd w:fill="F8FAFB" w:val="clear"/>
            <w:tcMar>
              <w:top w:type="dxa" w:w="45"/>
              <w:left w:type="dxa" w:w="110"/>
              <w:bottom w:type="dxa" w:w="45"/>
              <w:right w:type="dxa" w:w="110"/>
            </w:tcMar>
          </w:tcPr>
          <w:p>
            <w:pPr>
              <w:jc w:val="right"/>
            </w:pPr>
            <w:r>
              <w:rPr>
                <w:sz w:val="17"/>
                <w:szCs w:val="17"/>
              </w:rPr>
              <w:t xml:space="preserve">9</w:t>
            </w:r>
          </w:p>
        </w:tc>
      </w:tr>
    </w:tbl>
    <w:p>
      <w:pPr>
        <w:pStyle w:val="Heading1"/>
        <w:pBdr>
          <w:bottom w:val="single" w:color="D5DBE0" w:sz="6"/>
        </w:pBdr>
        <w:spacing w:after="130" w:before="340"/>
      </w:pPr>
      <w:r>
        <w:rPr>
          <w:b/>
          <w:bCs/>
          <w:color w:val="1F4E5F"/>
          <w:sz w:val="28"/>
          <w:szCs w:val="28"/>
        </w:rPr>
        <w:t xml:space="preserve">Oil plays</w:t>
      </w:r>
    </w:p>
    <w:p>
      <w:pPr>
        <w:pStyle w:val="Heading2"/>
        <w:spacing w:after="70" w:before="240"/>
      </w:pPr>
      <w:r>
        <w:rPr>
          <w:b/>
          <w:bCs/>
          <w:color w:val="1F4E5F"/>
          <w:sz w:val="23"/>
          <w:szCs w:val="23"/>
        </w:rPr>
        <w:t xml:space="preserve">Athabasca in-situ — Christina Lake, Foster Creek, Firebag, Surmont</w:t>
      </w:r>
    </w:p>
    <w:p>
      <w:pPr>
        <w:spacing w:after="110"/>
      </w:pPr>
      <w:r>
        <w:rPr>
          <w:i w:val="false"/>
          <w:iCs w:val="false"/>
          <w:sz w:val="19"/>
          <w:szCs w:val="19"/>
        </w:rPr>
        <w:t xml:space="preserve">SAGD thermal — paired horizontal wells, steam injected above, heated bitumen drains into the producer below. The largest single pool of production in the country and the core of the Canadian large-cap story. Low decline and long life, but capital never stops: new well pairs are drilled continuously to keep the central plant full. Growth arrives in lumps as plants are expanded, which is why thermal names guide to named projects rather than a rig count.</w:t>
      </w:r>
    </w:p>
    <w:p>
      <w:pPr>
        <w:shd w:fill="EEF3F6" w:val="clear"/>
        <w:spacing w:after="100" w:before="40"/>
      </w:pPr>
      <w:r>
        <w:rPr>
          <w:b/>
          <w:bCs/>
          <w:color w:val="1F4E5F"/>
          <w:sz w:val="19"/>
          <w:szCs w:val="19"/>
        </w:rPr>
        <w:t xml:space="preserve">  1,230,554 boe/d  —  1,190,664 b/d bitumen · 239 MMcf/d gas  ·  3%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w:t>
            </w:r>
          </w:p>
        </w:tc>
      </w:tr>
      <w:tr>
        <w:tc>
          <w:tcPr>
            <w:tcW w:type="dxa" w:w="5100"/>
            <w:tcMar>
              <w:top w:type="dxa" w:w="45"/>
              <w:left w:type="dxa" w:w="110"/>
              <w:bottom w:type="dxa" w:w="45"/>
              <w:right w:type="dxa" w:w="110"/>
            </w:tcMar>
          </w:tcPr>
          <w:p>
            <w:pPr>
              <w:jc w:val="left"/>
            </w:pPr>
            <w:r>
              <w:rPr>
                <w:sz w:val="17"/>
                <w:szCs w:val="17"/>
              </w:rPr>
              <w:t xml:space="preserve">Cenovus</w:t>
            </w:r>
          </w:p>
        </w:tc>
        <w:tc>
          <w:tcPr>
            <w:tcW w:type="dxa" w:w="1900"/>
            <w:tcMar>
              <w:top w:type="dxa" w:w="45"/>
              <w:left w:type="dxa" w:w="110"/>
              <w:bottom w:type="dxa" w:w="45"/>
              <w:right w:type="dxa" w:w="110"/>
            </w:tcMar>
          </w:tcPr>
          <w:p>
            <w:pPr>
              <w:jc w:val="right"/>
            </w:pPr>
            <w:r>
              <w:rPr>
                <w:sz w:val="17"/>
                <w:szCs w:val="17"/>
              </w:rPr>
              <w:t xml:space="preserve">439,294</w:t>
            </w:r>
          </w:p>
        </w:tc>
      </w:tr>
      <w:tr>
        <w:tc>
          <w:tcPr>
            <w:tcW w:type="dxa" w:w="5100"/>
            <w:shd w:fill="F8FAFB" w:val="clear"/>
            <w:tcMar>
              <w:top w:type="dxa" w:w="45"/>
              <w:left w:type="dxa" w:w="110"/>
              <w:bottom w:type="dxa" w:w="45"/>
              <w:right w:type="dxa" w:w="110"/>
            </w:tcMar>
          </w:tcPr>
          <w:p>
            <w:pPr>
              <w:jc w:val="left"/>
            </w:pPr>
            <w:r>
              <w:rPr>
                <w:sz w:val="17"/>
                <w:szCs w:val="17"/>
              </w:rPr>
              <w:t xml:space="preserve">Suncor</w:t>
            </w:r>
          </w:p>
        </w:tc>
        <w:tc>
          <w:tcPr>
            <w:tcW w:type="dxa" w:w="1900"/>
            <w:shd w:fill="F8FAFB" w:val="clear"/>
            <w:tcMar>
              <w:top w:type="dxa" w:w="45"/>
              <w:left w:type="dxa" w:w="110"/>
              <w:bottom w:type="dxa" w:w="45"/>
              <w:right w:type="dxa" w:w="110"/>
            </w:tcMar>
          </w:tcPr>
          <w:p>
            <w:pPr>
              <w:jc w:val="right"/>
            </w:pPr>
            <w:r>
              <w:rPr>
                <w:sz w:val="17"/>
                <w:szCs w:val="17"/>
              </w:rPr>
              <w:t xml:space="preserve">275,728</w:t>
            </w:r>
          </w:p>
        </w:tc>
      </w:tr>
      <w:tr>
        <w:tc>
          <w:tcPr>
            <w:tcW w:type="dxa" w:w="5100"/>
            <w:tcMar>
              <w:top w:type="dxa" w:w="45"/>
              <w:left w:type="dxa" w:w="110"/>
              <w:bottom w:type="dxa" w:w="45"/>
              <w:right w:type="dxa" w:w="110"/>
            </w:tcMar>
          </w:tcPr>
          <w:p>
            <w:pPr>
              <w:jc w:val="left"/>
            </w:pPr>
            <w:r>
              <w:rPr>
                <w:sz w:val="17"/>
                <w:szCs w:val="17"/>
              </w:rPr>
              <w:t xml:space="preserve">Canadian Natural</w:t>
            </w:r>
          </w:p>
        </w:tc>
        <w:tc>
          <w:tcPr>
            <w:tcW w:type="dxa" w:w="1900"/>
            <w:tcMar>
              <w:top w:type="dxa" w:w="45"/>
              <w:left w:type="dxa" w:w="110"/>
              <w:bottom w:type="dxa" w:w="45"/>
              <w:right w:type="dxa" w:w="110"/>
            </w:tcMar>
          </w:tcPr>
          <w:p>
            <w:pPr>
              <w:jc w:val="right"/>
            </w:pPr>
            <w:r>
              <w:rPr>
                <w:sz w:val="17"/>
                <w:szCs w:val="17"/>
              </w:rPr>
              <w:t xml:space="preserve">179,548</w:t>
            </w:r>
          </w:p>
        </w:tc>
      </w:tr>
      <w:tr>
        <w:tc>
          <w:tcPr>
            <w:tcW w:type="dxa" w:w="5100"/>
            <w:shd w:fill="F8FAFB" w:val="clear"/>
            <w:tcMar>
              <w:top w:type="dxa" w:w="45"/>
              <w:left w:type="dxa" w:w="110"/>
              <w:bottom w:type="dxa" w:w="45"/>
              <w:right w:type="dxa" w:w="110"/>
            </w:tcMar>
          </w:tcPr>
          <w:p>
            <w:pPr>
              <w:jc w:val="left"/>
            </w:pPr>
            <w:r>
              <w:rPr>
                <w:sz w:val="17"/>
                <w:szCs w:val="17"/>
              </w:rPr>
              <w:t xml:space="preserve">ConocoPhillips</w:t>
            </w:r>
          </w:p>
        </w:tc>
        <w:tc>
          <w:tcPr>
            <w:tcW w:type="dxa" w:w="1900"/>
            <w:shd w:fill="F8FAFB" w:val="clear"/>
            <w:tcMar>
              <w:top w:type="dxa" w:w="45"/>
              <w:left w:type="dxa" w:w="110"/>
              <w:bottom w:type="dxa" w:w="45"/>
              <w:right w:type="dxa" w:w="110"/>
            </w:tcMar>
          </w:tcPr>
          <w:p>
            <w:pPr>
              <w:jc w:val="right"/>
            </w:pPr>
            <w:r>
              <w:rPr>
                <w:sz w:val="17"/>
                <w:szCs w:val="17"/>
              </w:rPr>
              <w:t xml:space="preserve">135,914</w:t>
            </w:r>
          </w:p>
        </w:tc>
      </w:tr>
      <w:tr>
        <w:tc>
          <w:tcPr>
            <w:tcW w:type="dxa" w:w="5100"/>
            <w:tcMar>
              <w:top w:type="dxa" w:w="45"/>
              <w:left w:type="dxa" w:w="110"/>
              <w:bottom w:type="dxa" w:w="45"/>
              <w:right w:type="dxa" w:w="110"/>
            </w:tcMar>
          </w:tcPr>
          <w:p>
            <w:pPr>
              <w:jc w:val="left"/>
            </w:pPr>
            <w:r>
              <w:rPr>
                <w:sz w:val="17"/>
                <w:szCs w:val="17"/>
              </w:rPr>
              <w:t xml:space="preserve">CNOOC</w:t>
            </w:r>
          </w:p>
        </w:tc>
        <w:tc>
          <w:tcPr>
            <w:tcW w:type="dxa" w:w="1900"/>
            <w:tcMar>
              <w:top w:type="dxa" w:w="45"/>
              <w:left w:type="dxa" w:w="110"/>
              <w:bottom w:type="dxa" w:w="45"/>
              <w:right w:type="dxa" w:w="110"/>
            </w:tcMar>
          </w:tcPr>
          <w:p>
            <w:pPr>
              <w:jc w:val="right"/>
            </w:pPr>
            <w:r>
              <w:rPr>
                <w:sz w:val="17"/>
                <w:szCs w:val="17"/>
              </w:rPr>
              <w:t xml:space="preserve">69,220</w:t>
            </w:r>
          </w:p>
        </w:tc>
      </w:tr>
      <w:tr>
        <w:tc>
          <w:tcPr>
            <w:tcW w:type="dxa" w:w="5100"/>
            <w:shd w:fill="F8FAFB" w:val="clear"/>
            <w:tcMar>
              <w:top w:type="dxa" w:w="45"/>
              <w:left w:type="dxa" w:w="110"/>
              <w:bottom w:type="dxa" w:w="45"/>
              <w:right w:type="dxa" w:w="110"/>
            </w:tcMar>
          </w:tcPr>
          <w:p>
            <w:pPr>
              <w:jc w:val="left"/>
            </w:pPr>
            <w:r>
              <w:rPr>
                <w:sz w:val="17"/>
                <w:szCs w:val="17"/>
              </w:rPr>
              <w:t xml:space="preserve">Athabasca Oil</w:t>
            </w:r>
          </w:p>
        </w:tc>
        <w:tc>
          <w:tcPr>
            <w:tcW w:type="dxa" w:w="1900"/>
            <w:shd w:fill="F8FAFB" w:val="clear"/>
            <w:tcMar>
              <w:top w:type="dxa" w:w="45"/>
              <w:left w:type="dxa" w:w="110"/>
              <w:bottom w:type="dxa" w:w="45"/>
              <w:right w:type="dxa" w:w="110"/>
            </w:tcMar>
          </w:tcPr>
          <w:p>
            <w:pPr>
              <w:jc w:val="right"/>
            </w:pPr>
            <w:r>
              <w:rPr>
                <w:sz w:val="17"/>
                <w:szCs w:val="17"/>
              </w:rPr>
              <w:t xml:space="preserve">32,250</w:t>
            </w:r>
          </w:p>
        </w:tc>
      </w:tr>
    </w:tbl>
    <w:p>
      <w:pPr>
        <w:spacing w:after="110"/>
      </w:pPr>
      <w:r>
        <w:rPr>
          <w:i w:val="false"/>
          <w:iCs w:val="false"/>
          <w:color w:val="6B7280"/>
          <w:sz w:val="19"/>
          <w:szCs w:val="19"/>
        </w:rPr>
        <w:t xml:space="preserve">Cenovus's position reflects the MEG acquisition, which closed 13 November 2025 and consolidated Christina Lake. MEG delisted the next day — do not name it as a comp.</w:t>
      </w:r>
    </w:p>
    <w:p>
      <w:pPr>
        <w:pStyle w:val="Heading2"/>
        <w:spacing w:after="70" w:before="240"/>
      </w:pPr>
      <w:r>
        <w:rPr>
          <w:b/>
          <w:bCs/>
          <w:color w:val="1F4E5F"/>
          <w:sz w:val="23"/>
          <w:szCs w:val="23"/>
        </w:rPr>
        <w:t xml:space="preserve">Cold Lake</w:t>
      </w:r>
    </w:p>
    <w:p>
      <w:pPr>
        <w:spacing w:after="110"/>
      </w:pPr>
      <w:r>
        <w:rPr>
          <w:i w:val="false"/>
          <w:iCs w:val="false"/>
          <w:sz w:val="19"/>
          <w:szCs w:val="19"/>
        </w:rPr>
        <w:t xml:space="preserve">Cyclic steam (CSS, or "huff and puff" — one well alternately injects steam then produces, rather than the two-well SAGD arrangement) alongside SAGD. Imperial's Cold Lake operation is its entire Alberta production, which is a useful check that the geographic attribution is sound.</w:t>
      </w:r>
    </w:p>
    <w:p>
      <w:pPr>
        <w:shd w:fill="EEF3F6" w:val="clear"/>
        <w:spacing w:after="100" w:before="40"/>
      </w:pPr>
      <w:r>
        <w:rPr>
          <w:b/>
          <w:bCs/>
          <w:color w:val="1F4E5F"/>
          <w:sz w:val="19"/>
          <w:szCs w:val="19"/>
        </w:rPr>
        <w:t xml:space="preserve">  639,561 boe/d  —  605,548 b/d bitumen · 204 MMcf/d gas  ·  5%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w:t>
            </w:r>
          </w:p>
        </w:tc>
      </w:tr>
      <w:tr>
        <w:tc>
          <w:tcPr>
            <w:tcW w:type="dxa" w:w="5100"/>
            <w:tcMar>
              <w:top w:type="dxa" w:w="45"/>
              <w:left w:type="dxa" w:w="110"/>
              <w:bottom w:type="dxa" w:w="45"/>
              <w:right w:type="dxa" w:w="110"/>
            </w:tcMar>
          </w:tcPr>
          <w:p>
            <w:pPr>
              <w:jc w:val="left"/>
            </w:pPr>
            <w:r>
              <w:rPr>
                <w:sz w:val="17"/>
                <w:szCs w:val="17"/>
              </w:rPr>
              <w:t xml:space="preserve">Cenovus</w:t>
            </w:r>
          </w:p>
        </w:tc>
        <w:tc>
          <w:tcPr>
            <w:tcW w:type="dxa" w:w="1900"/>
            <w:tcMar>
              <w:top w:type="dxa" w:w="45"/>
              <w:left w:type="dxa" w:w="110"/>
              <w:bottom w:type="dxa" w:w="45"/>
              <w:right w:type="dxa" w:w="110"/>
            </w:tcMar>
          </w:tcPr>
          <w:p>
            <w:pPr>
              <w:jc w:val="right"/>
            </w:pPr>
            <w:r>
              <w:rPr>
                <w:sz w:val="17"/>
                <w:szCs w:val="17"/>
              </w:rPr>
              <w:t xml:space="preserve">185,958</w:t>
            </w:r>
          </w:p>
        </w:tc>
      </w:tr>
      <w:tr>
        <w:tc>
          <w:tcPr>
            <w:tcW w:type="dxa" w:w="5100"/>
            <w:shd w:fill="F8FAFB" w:val="clear"/>
            <w:tcMar>
              <w:top w:type="dxa" w:w="45"/>
              <w:left w:type="dxa" w:w="110"/>
              <w:bottom w:type="dxa" w:w="45"/>
              <w:right w:type="dxa" w:w="110"/>
            </w:tcMar>
          </w:tcPr>
          <w:p>
            <w:pPr>
              <w:jc w:val="left"/>
            </w:pPr>
            <w:r>
              <w:rPr>
                <w:sz w:val="17"/>
                <w:szCs w:val="17"/>
              </w:rPr>
              <w:t xml:space="preserve">Canadian Natural</w:t>
            </w:r>
          </w:p>
        </w:tc>
        <w:tc>
          <w:tcPr>
            <w:tcW w:type="dxa" w:w="1900"/>
            <w:shd w:fill="F8FAFB" w:val="clear"/>
            <w:tcMar>
              <w:top w:type="dxa" w:w="45"/>
              <w:left w:type="dxa" w:w="110"/>
              <w:bottom w:type="dxa" w:w="45"/>
              <w:right w:type="dxa" w:w="110"/>
            </w:tcMar>
          </w:tcPr>
          <w:p>
            <w:pPr>
              <w:jc w:val="right"/>
            </w:pPr>
            <w:r>
              <w:rPr>
                <w:sz w:val="17"/>
                <w:szCs w:val="17"/>
              </w:rPr>
              <w:t xml:space="preserve">166,345</w:t>
            </w:r>
          </w:p>
        </w:tc>
      </w:tr>
      <w:tr>
        <w:tc>
          <w:tcPr>
            <w:tcW w:type="dxa" w:w="5100"/>
            <w:tcMar>
              <w:top w:type="dxa" w:w="45"/>
              <w:left w:type="dxa" w:w="110"/>
              <w:bottom w:type="dxa" w:w="45"/>
              <w:right w:type="dxa" w:w="110"/>
            </w:tcMar>
          </w:tcPr>
          <w:p>
            <w:pPr>
              <w:jc w:val="left"/>
            </w:pPr>
            <w:r>
              <w:rPr>
                <w:sz w:val="17"/>
                <w:szCs w:val="17"/>
              </w:rPr>
              <w:t xml:space="preserve">Imperial Oil</w:t>
            </w:r>
          </w:p>
        </w:tc>
        <w:tc>
          <w:tcPr>
            <w:tcW w:type="dxa" w:w="1900"/>
            <w:tcMar>
              <w:top w:type="dxa" w:w="45"/>
              <w:left w:type="dxa" w:w="110"/>
              <w:bottom w:type="dxa" w:w="45"/>
              <w:right w:type="dxa" w:w="110"/>
            </w:tcMar>
          </w:tcPr>
          <w:p>
            <w:pPr>
              <w:jc w:val="right"/>
            </w:pPr>
            <w:r>
              <w:rPr>
                <w:sz w:val="17"/>
                <w:szCs w:val="17"/>
              </w:rPr>
              <w:t xml:space="preserve">160,371</w:t>
            </w:r>
          </w:p>
        </w:tc>
      </w:tr>
      <w:tr>
        <w:tc>
          <w:tcPr>
            <w:tcW w:type="dxa" w:w="5100"/>
            <w:shd w:fill="F8FAFB" w:val="clear"/>
            <w:tcMar>
              <w:top w:type="dxa" w:w="45"/>
              <w:left w:type="dxa" w:w="110"/>
              <w:bottom w:type="dxa" w:w="45"/>
              <w:right w:type="dxa" w:w="110"/>
            </w:tcMar>
          </w:tcPr>
          <w:p>
            <w:pPr>
              <w:jc w:val="left"/>
            </w:pPr>
            <w:r>
              <w:rPr>
                <w:sz w:val="17"/>
                <w:szCs w:val="17"/>
              </w:rPr>
              <w:t xml:space="preserve">Strathcona</w:t>
            </w:r>
          </w:p>
        </w:tc>
        <w:tc>
          <w:tcPr>
            <w:tcW w:type="dxa" w:w="1900"/>
            <w:shd w:fill="F8FAFB" w:val="clear"/>
            <w:tcMar>
              <w:top w:type="dxa" w:w="45"/>
              <w:left w:type="dxa" w:w="110"/>
              <w:bottom w:type="dxa" w:w="45"/>
              <w:right w:type="dxa" w:w="110"/>
            </w:tcMar>
          </w:tcPr>
          <w:p>
            <w:pPr>
              <w:jc w:val="right"/>
            </w:pPr>
            <w:r>
              <w:rPr>
                <w:sz w:val="17"/>
                <w:szCs w:val="17"/>
              </w:rPr>
              <w:t xml:space="preserve">65,063</w:t>
            </w:r>
          </w:p>
        </w:tc>
      </w:tr>
      <w:tr>
        <w:tc>
          <w:tcPr>
            <w:tcW w:type="dxa" w:w="5100"/>
            <w:tcMar>
              <w:top w:type="dxa" w:w="45"/>
              <w:left w:type="dxa" w:w="110"/>
              <w:bottom w:type="dxa" w:w="45"/>
              <w:right w:type="dxa" w:w="110"/>
            </w:tcMar>
          </w:tcPr>
          <w:p>
            <w:pPr>
              <w:jc w:val="left"/>
            </w:pPr>
            <w:r>
              <w:rPr>
                <w:sz w:val="17"/>
                <w:szCs w:val="17"/>
              </w:rPr>
              <w:t xml:space="preserve">Caltex Trilogy</w:t>
            </w:r>
          </w:p>
        </w:tc>
        <w:tc>
          <w:tcPr>
            <w:tcW w:type="dxa" w:w="1900"/>
            <w:tcMar>
              <w:top w:type="dxa" w:w="45"/>
              <w:left w:type="dxa" w:w="110"/>
              <w:bottom w:type="dxa" w:w="45"/>
              <w:right w:type="dxa" w:w="110"/>
            </w:tcMar>
          </w:tcPr>
          <w:p>
            <w:pPr>
              <w:jc w:val="right"/>
            </w:pPr>
            <w:r>
              <w:rPr>
                <w:sz w:val="17"/>
                <w:szCs w:val="17"/>
              </w:rPr>
              <w:t xml:space="preserve">12,770</w:t>
            </w:r>
          </w:p>
        </w:tc>
      </w:tr>
      <w:tr>
        <w:tc>
          <w:tcPr>
            <w:tcW w:type="dxa" w:w="5100"/>
            <w:shd w:fill="F8FAFB" w:val="clear"/>
            <w:tcMar>
              <w:top w:type="dxa" w:w="45"/>
              <w:left w:type="dxa" w:w="110"/>
              <w:bottom w:type="dxa" w:w="45"/>
              <w:right w:type="dxa" w:w="110"/>
            </w:tcMar>
          </w:tcPr>
          <w:p>
            <w:pPr>
              <w:jc w:val="left"/>
            </w:pPr>
            <w:r>
              <w:rPr>
                <w:sz w:val="17"/>
                <w:szCs w:val="17"/>
              </w:rPr>
              <w:t xml:space="preserve">Baytex</w:t>
            </w:r>
          </w:p>
        </w:tc>
        <w:tc>
          <w:tcPr>
            <w:tcW w:type="dxa" w:w="1900"/>
            <w:shd w:fill="F8FAFB" w:val="clear"/>
            <w:tcMar>
              <w:top w:type="dxa" w:w="45"/>
              <w:left w:type="dxa" w:w="110"/>
              <w:bottom w:type="dxa" w:w="45"/>
              <w:right w:type="dxa" w:w="110"/>
            </w:tcMar>
          </w:tcPr>
          <w:p>
            <w:pPr>
              <w:jc w:val="right"/>
            </w:pPr>
            <w:r>
              <w:rPr>
                <w:sz w:val="17"/>
                <w:szCs w:val="17"/>
              </w:rPr>
              <w:t xml:space="preserve">7,277</w:t>
            </w:r>
          </w:p>
        </w:tc>
      </w:tr>
    </w:tbl>
    <w:p>
      <w:pPr>
        <w:pStyle w:val="Heading2"/>
        <w:spacing w:after="70" w:before="240"/>
      </w:pPr>
      <w:r>
        <w:rPr>
          <w:b/>
          <w:bCs/>
          <w:color w:val="1F4E5F"/>
          <w:sz w:val="23"/>
          <w:szCs w:val="23"/>
        </w:rPr>
        <w:t xml:space="preserve">Clearwater — Marten Hills, Peavine, Nipisi</w:t>
      </w:r>
    </w:p>
    <w:p>
      <w:pPr>
        <w:spacing w:after="110"/>
      </w:pPr>
      <w:r>
        <w:rPr>
          <w:i w:val="false"/>
          <w:iCs w:val="false"/>
          <w:sz w:val="19"/>
          <w:szCs w:val="19"/>
        </w:rPr>
        <w:t xml:space="preserve">Shallow, cheap heavy oil produced from multilateral wells — several horizontal legs drilled from a single wellbore, which spreads the cost of one surface location across much more reservoir contact. The highest capital efficiency in Canadian conventional and the most interesting play of the last five years. Almost no associated gas, and no steam, which is what separates it from the thermal plays.</w:t>
      </w:r>
    </w:p>
    <w:p>
      <w:pPr>
        <w:shd w:fill="EEF3F6" w:val="clear"/>
        <w:spacing w:after="100" w:before="40"/>
      </w:pPr>
      <w:r>
        <w:rPr>
          <w:b/>
          <w:bCs/>
          <w:color w:val="1F4E5F"/>
          <w:sz w:val="19"/>
          <w:szCs w:val="19"/>
        </w:rPr>
        <w:t xml:space="preserve">  212,131 boe/d  —  192,486 b/d oil · 118 MMcf/d gas  ·  9%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w:t>
            </w:r>
          </w:p>
        </w:tc>
      </w:tr>
      <w:tr>
        <w:tc>
          <w:tcPr>
            <w:tcW w:type="dxa" w:w="5100"/>
            <w:tcMar>
              <w:top w:type="dxa" w:w="45"/>
              <w:left w:type="dxa" w:w="110"/>
              <w:bottom w:type="dxa" w:w="45"/>
              <w:right w:type="dxa" w:w="110"/>
            </w:tcMar>
          </w:tcPr>
          <w:p>
            <w:pPr>
              <w:jc w:val="left"/>
            </w:pPr>
            <w:r>
              <w:rPr>
                <w:sz w:val="17"/>
                <w:szCs w:val="17"/>
              </w:rPr>
              <w:t xml:space="preserve">Spur Petroleum</w:t>
            </w:r>
          </w:p>
        </w:tc>
        <w:tc>
          <w:tcPr>
            <w:tcW w:type="dxa" w:w="1900"/>
            <w:tcMar>
              <w:top w:type="dxa" w:w="45"/>
              <w:left w:type="dxa" w:w="110"/>
              <w:bottom w:type="dxa" w:w="45"/>
              <w:right w:type="dxa" w:w="110"/>
            </w:tcMar>
          </w:tcPr>
          <w:p>
            <w:pPr>
              <w:jc w:val="right"/>
            </w:pPr>
            <w:r>
              <w:rPr>
                <w:sz w:val="17"/>
                <w:szCs w:val="17"/>
              </w:rPr>
              <w:t xml:space="preserve">60,665</w:t>
            </w:r>
          </w:p>
        </w:tc>
      </w:tr>
      <w:tr>
        <w:tc>
          <w:tcPr>
            <w:tcW w:type="dxa" w:w="5100"/>
            <w:shd w:fill="F8FAFB" w:val="clear"/>
            <w:tcMar>
              <w:top w:type="dxa" w:w="45"/>
              <w:left w:type="dxa" w:w="110"/>
              <w:bottom w:type="dxa" w:w="45"/>
              <w:right w:type="dxa" w:w="110"/>
            </w:tcMar>
          </w:tcPr>
          <w:p>
            <w:pPr>
              <w:jc w:val="left"/>
            </w:pPr>
            <w:r>
              <w:rPr>
                <w:sz w:val="17"/>
                <w:szCs w:val="17"/>
              </w:rPr>
              <w:t xml:space="preserve">Canadian Natural</w:t>
            </w:r>
          </w:p>
        </w:tc>
        <w:tc>
          <w:tcPr>
            <w:tcW w:type="dxa" w:w="1900"/>
            <w:shd w:fill="F8FAFB" w:val="clear"/>
            <w:tcMar>
              <w:top w:type="dxa" w:w="45"/>
              <w:left w:type="dxa" w:w="110"/>
              <w:bottom w:type="dxa" w:w="45"/>
              <w:right w:type="dxa" w:w="110"/>
            </w:tcMar>
          </w:tcPr>
          <w:p>
            <w:pPr>
              <w:jc w:val="right"/>
            </w:pPr>
            <w:r>
              <w:rPr>
                <w:sz w:val="17"/>
                <w:szCs w:val="17"/>
              </w:rPr>
              <w:t xml:space="preserve">44,544</w:t>
            </w:r>
          </w:p>
        </w:tc>
      </w:tr>
      <w:tr>
        <w:tc>
          <w:tcPr>
            <w:tcW w:type="dxa" w:w="5100"/>
            <w:tcMar>
              <w:top w:type="dxa" w:w="45"/>
              <w:left w:type="dxa" w:w="110"/>
              <w:bottom w:type="dxa" w:w="45"/>
              <w:right w:type="dxa" w:w="110"/>
            </w:tcMar>
          </w:tcPr>
          <w:p>
            <w:pPr>
              <w:jc w:val="left"/>
            </w:pPr>
            <w:r>
              <w:rPr>
                <w:sz w:val="17"/>
                <w:szCs w:val="17"/>
              </w:rPr>
              <w:t xml:space="preserve">Tamarack Valley</w:t>
            </w:r>
          </w:p>
        </w:tc>
        <w:tc>
          <w:tcPr>
            <w:tcW w:type="dxa" w:w="1900"/>
            <w:tcMar>
              <w:top w:type="dxa" w:w="45"/>
              <w:left w:type="dxa" w:w="110"/>
              <w:bottom w:type="dxa" w:w="45"/>
              <w:right w:type="dxa" w:w="110"/>
            </w:tcMar>
          </w:tcPr>
          <w:p>
            <w:pPr>
              <w:jc w:val="right"/>
            </w:pPr>
            <w:r>
              <w:rPr>
                <w:sz w:val="17"/>
                <w:szCs w:val="17"/>
              </w:rPr>
              <w:t xml:space="preserve">43,462</w:t>
            </w:r>
          </w:p>
        </w:tc>
      </w:tr>
      <w:tr>
        <w:tc>
          <w:tcPr>
            <w:tcW w:type="dxa" w:w="5100"/>
            <w:shd w:fill="F8FAFB" w:val="clear"/>
            <w:tcMar>
              <w:top w:type="dxa" w:w="45"/>
              <w:left w:type="dxa" w:w="110"/>
              <w:bottom w:type="dxa" w:w="45"/>
              <w:right w:type="dxa" w:w="110"/>
            </w:tcMar>
          </w:tcPr>
          <w:p>
            <w:pPr>
              <w:jc w:val="left"/>
            </w:pPr>
            <w:r>
              <w:rPr>
                <w:sz w:val="17"/>
                <w:szCs w:val="17"/>
              </w:rPr>
              <w:t xml:space="preserve">Headwater Exploration</w:t>
            </w:r>
          </w:p>
        </w:tc>
        <w:tc>
          <w:tcPr>
            <w:tcW w:type="dxa" w:w="1900"/>
            <w:shd w:fill="F8FAFB" w:val="clear"/>
            <w:tcMar>
              <w:top w:type="dxa" w:w="45"/>
              <w:left w:type="dxa" w:w="110"/>
              <w:bottom w:type="dxa" w:w="45"/>
              <w:right w:type="dxa" w:w="110"/>
            </w:tcMar>
          </w:tcPr>
          <w:p>
            <w:pPr>
              <w:jc w:val="right"/>
            </w:pPr>
            <w:r>
              <w:rPr>
                <w:sz w:val="17"/>
                <w:szCs w:val="17"/>
              </w:rPr>
              <w:t xml:space="preserve">23,123</w:t>
            </w:r>
          </w:p>
        </w:tc>
      </w:tr>
      <w:tr>
        <w:tc>
          <w:tcPr>
            <w:tcW w:type="dxa" w:w="5100"/>
            <w:tcMar>
              <w:top w:type="dxa" w:w="45"/>
              <w:left w:type="dxa" w:w="110"/>
              <w:bottom w:type="dxa" w:w="45"/>
              <w:right w:type="dxa" w:w="110"/>
            </w:tcMar>
          </w:tcPr>
          <w:p>
            <w:pPr>
              <w:jc w:val="left"/>
            </w:pPr>
            <w:r>
              <w:rPr>
                <w:sz w:val="17"/>
                <w:szCs w:val="17"/>
              </w:rPr>
              <w:t xml:space="preserve">Cardinal Energy</w:t>
            </w:r>
          </w:p>
        </w:tc>
        <w:tc>
          <w:tcPr>
            <w:tcW w:type="dxa" w:w="1900"/>
            <w:tcMar>
              <w:top w:type="dxa" w:w="45"/>
              <w:left w:type="dxa" w:w="110"/>
              <w:bottom w:type="dxa" w:w="45"/>
              <w:right w:type="dxa" w:w="110"/>
            </w:tcMar>
          </w:tcPr>
          <w:p>
            <w:pPr>
              <w:jc w:val="right"/>
            </w:pPr>
            <w:r>
              <w:rPr>
                <w:sz w:val="17"/>
                <w:szCs w:val="17"/>
              </w:rPr>
              <w:t xml:space="preserve">4,179</w:t>
            </w:r>
          </w:p>
        </w:tc>
      </w:tr>
      <w:tr>
        <w:tc>
          <w:tcPr>
            <w:tcW w:type="dxa" w:w="5100"/>
            <w:shd w:fill="F8FAFB" w:val="clear"/>
            <w:tcMar>
              <w:top w:type="dxa" w:w="45"/>
              <w:left w:type="dxa" w:w="110"/>
              <w:bottom w:type="dxa" w:w="45"/>
              <w:right w:type="dxa" w:w="110"/>
            </w:tcMar>
          </w:tcPr>
          <w:p>
            <w:pPr>
              <w:jc w:val="left"/>
            </w:pPr>
            <w:r>
              <w:rPr>
                <w:sz w:val="17"/>
                <w:szCs w:val="17"/>
              </w:rPr>
              <w:t xml:space="preserve">Clear North Energy</w:t>
            </w:r>
          </w:p>
        </w:tc>
        <w:tc>
          <w:tcPr>
            <w:tcW w:type="dxa" w:w="1900"/>
            <w:shd w:fill="F8FAFB" w:val="clear"/>
            <w:tcMar>
              <w:top w:type="dxa" w:w="45"/>
              <w:left w:type="dxa" w:w="110"/>
              <w:bottom w:type="dxa" w:w="45"/>
              <w:right w:type="dxa" w:w="110"/>
            </w:tcMar>
          </w:tcPr>
          <w:p>
            <w:pPr>
              <w:jc w:val="right"/>
            </w:pPr>
            <w:r>
              <w:rPr>
                <w:sz w:val="17"/>
                <w:szCs w:val="17"/>
              </w:rPr>
              <w:t xml:space="preserve">3,048</w:t>
            </w:r>
          </w:p>
        </w:tc>
      </w:tr>
    </w:tbl>
    <w:p>
      <w:pPr>
        <w:pStyle w:val="Heading2"/>
        <w:spacing w:after="70" w:before="240"/>
      </w:pPr>
      <w:r>
        <w:rPr>
          <w:b/>
          <w:bCs/>
          <w:color w:val="1F4E5F"/>
          <w:sz w:val="23"/>
          <w:szCs w:val="23"/>
        </w:rPr>
        <w:t xml:space="preserve">Peace River oil sands</w:t>
      </w:r>
    </w:p>
    <w:p>
      <w:pPr>
        <w:spacing w:after="110"/>
      </w:pPr>
      <w:r>
        <w:rPr>
          <w:i w:val="false"/>
          <w:iCs w:val="false"/>
          <w:sz w:val="19"/>
          <w:szCs w:val="19"/>
        </w:rPr>
        <w:t xml:space="preserve">Heavy oil in the northwest. Smaller than Athabasca or Cold Lake, and the play most associated with Baytex.</w:t>
      </w:r>
    </w:p>
    <w:p>
      <w:pPr>
        <w:shd w:fill="EEF3F6" w:val="clear"/>
        <w:spacing w:after="100" w:before="40"/>
      </w:pPr>
      <w:r>
        <w:rPr>
          <w:b/>
          <w:bCs/>
          <w:color w:val="1F4E5F"/>
          <w:sz w:val="19"/>
          <w:szCs w:val="19"/>
        </w:rPr>
        <w:t xml:space="preserve">  52,658 boe/d  —  41,668 b/d oil · 66 MMcf/d gas  ·  21% gas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100"/>
        <w:gridCol w:w="1900"/>
      </w:tblGrid>
      <w:tr>
        <w:trPr>
          <w:tblHeader/>
        </w:trPr>
        <w:tc>
          <w:tcPr>
            <w:tcW w:type="dxa" w:w="5100"/>
            <w:shd w:fill="EEF3F6" w:val="clear"/>
            <w:tcMar>
              <w:top w:type="dxa" w:w="50"/>
              <w:left w:type="dxa" w:w="110"/>
              <w:bottom w:type="dxa" w:w="50"/>
              <w:right w:type="dxa" w:w="110"/>
            </w:tcMar>
          </w:tcPr>
          <w:p>
            <w:pPr>
              <w:jc w:val="left"/>
            </w:pPr>
            <w:r>
              <w:rPr>
                <w:b/>
                <w:bCs/>
                <w:color w:val="1F4E5F"/>
                <w:sz w:val="17"/>
                <w:szCs w:val="17"/>
              </w:rPr>
              <w:t xml:space="preserve">Operator</w:t>
            </w:r>
          </w:p>
        </w:tc>
        <w:tc>
          <w:tcPr>
            <w:tcW w:type="dxa" w:w="1900"/>
            <w:shd w:fill="EEF3F6" w:val="clear"/>
            <w:tcMar>
              <w:top w:type="dxa" w:w="50"/>
              <w:left w:type="dxa" w:w="110"/>
              <w:bottom w:type="dxa" w:w="50"/>
              <w:right w:type="dxa" w:w="110"/>
            </w:tcMar>
          </w:tcPr>
          <w:p>
            <w:pPr>
              <w:jc w:val="right"/>
            </w:pPr>
            <w:r>
              <w:rPr>
                <w:b/>
                <w:bCs/>
                <w:color w:val="1F4E5F"/>
                <w:sz w:val="17"/>
                <w:szCs w:val="17"/>
              </w:rPr>
              <w:t xml:space="preserve">b/d</w:t>
            </w:r>
          </w:p>
        </w:tc>
      </w:tr>
      <w:tr>
        <w:tc>
          <w:tcPr>
            <w:tcW w:type="dxa" w:w="5100"/>
            <w:tcMar>
              <w:top w:type="dxa" w:w="45"/>
              <w:left w:type="dxa" w:w="110"/>
              <w:bottom w:type="dxa" w:w="45"/>
              <w:right w:type="dxa" w:w="110"/>
            </w:tcMar>
          </w:tcPr>
          <w:p>
            <w:pPr>
              <w:jc w:val="left"/>
            </w:pPr>
            <w:r>
              <w:rPr>
                <w:sz w:val="17"/>
                <w:szCs w:val="17"/>
              </w:rPr>
              <w:t xml:space="preserve">Baytex</w:t>
            </w:r>
          </w:p>
        </w:tc>
        <w:tc>
          <w:tcPr>
            <w:tcW w:type="dxa" w:w="1900"/>
            <w:tcMar>
              <w:top w:type="dxa" w:w="45"/>
              <w:left w:type="dxa" w:w="110"/>
              <w:bottom w:type="dxa" w:w="45"/>
              <w:right w:type="dxa" w:w="110"/>
            </w:tcMar>
          </w:tcPr>
          <w:p>
            <w:pPr>
              <w:jc w:val="right"/>
            </w:pPr>
            <w:r>
              <w:rPr>
                <w:sz w:val="17"/>
                <w:szCs w:val="17"/>
              </w:rPr>
              <w:t xml:space="preserve">17,046</w:t>
            </w:r>
          </w:p>
        </w:tc>
      </w:tr>
      <w:tr>
        <w:tc>
          <w:tcPr>
            <w:tcW w:type="dxa" w:w="5100"/>
            <w:shd w:fill="F8FAFB" w:val="clear"/>
            <w:tcMar>
              <w:top w:type="dxa" w:w="45"/>
              <w:left w:type="dxa" w:w="110"/>
              <w:bottom w:type="dxa" w:w="45"/>
              <w:right w:type="dxa" w:w="110"/>
            </w:tcMar>
          </w:tcPr>
          <w:p>
            <w:pPr>
              <w:jc w:val="left"/>
            </w:pPr>
            <w:r>
              <w:rPr>
                <w:sz w:val="17"/>
                <w:szCs w:val="17"/>
              </w:rPr>
              <w:t xml:space="preserve">Obsidian Energy</w:t>
            </w:r>
          </w:p>
        </w:tc>
        <w:tc>
          <w:tcPr>
            <w:tcW w:type="dxa" w:w="1900"/>
            <w:shd w:fill="F8FAFB" w:val="clear"/>
            <w:tcMar>
              <w:top w:type="dxa" w:w="45"/>
              <w:left w:type="dxa" w:w="110"/>
              <w:bottom w:type="dxa" w:w="45"/>
              <w:right w:type="dxa" w:w="110"/>
            </w:tcMar>
          </w:tcPr>
          <w:p>
            <w:pPr>
              <w:jc w:val="right"/>
            </w:pPr>
            <w:r>
              <w:rPr>
                <w:sz w:val="17"/>
                <w:szCs w:val="17"/>
              </w:rPr>
              <w:t xml:space="preserve">9,915</w:t>
            </w:r>
          </w:p>
        </w:tc>
      </w:tr>
      <w:tr>
        <w:tc>
          <w:tcPr>
            <w:tcW w:type="dxa" w:w="5100"/>
            <w:tcMar>
              <w:top w:type="dxa" w:w="45"/>
              <w:left w:type="dxa" w:w="110"/>
              <w:bottom w:type="dxa" w:w="45"/>
              <w:right w:type="dxa" w:w="110"/>
            </w:tcMar>
          </w:tcPr>
          <w:p>
            <w:pPr>
              <w:jc w:val="left"/>
            </w:pPr>
            <w:r>
              <w:rPr>
                <w:sz w:val="17"/>
                <w:szCs w:val="17"/>
              </w:rPr>
              <w:t xml:space="preserve">Canadian Natural Upgrading</w:t>
            </w:r>
          </w:p>
        </w:tc>
        <w:tc>
          <w:tcPr>
            <w:tcW w:type="dxa" w:w="1900"/>
            <w:tcMar>
              <w:top w:type="dxa" w:w="45"/>
              <w:left w:type="dxa" w:w="110"/>
              <w:bottom w:type="dxa" w:w="45"/>
              <w:right w:type="dxa" w:w="110"/>
            </w:tcMar>
          </w:tcPr>
          <w:p>
            <w:pPr>
              <w:jc w:val="right"/>
            </w:pPr>
            <w:r>
              <w:rPr>
                <w:sz w:val="17"/>
                <w:szCs w:val="17"/>
              </w:rPr>
              <w:t xml:space="preserve">9,699</w:t>
            </w:r>
          </w:p>
        </w:tc>
      </w:tr>
      <w:tr>
        <w:tc>
          <w:tcPr>
            <w:tcW w:type="dxa" w:w="5100"/>
            <w:shd w:fill="F8FAFB" w:val="clear"/>
            <w:tcMar>
              <w:top w:type="dxa" w:w="45"/>
              <w:left w:type="dxa" w:w="110"/>
              <w:bottom w:type="dxa" w:w="45"/>
              <w:right w:type="dxa" w:w="110"/>
            </w:tcMar>
          </w:tcPr>
          <w:p>
            <w:pPr>
              <w:jc w:val="left"/>
            </w:pPr>
            <w:r>
              <w:rPr>
                <w:sz w:val="17"/>
                <w:szCs w:val="17"/>
              </w:rPr>
              <w:t xml:space="preserve">Spur Petroleum</w:t>
            </w:r>
          </w:p>
        </w:tc>
        <w:tc>
          <w:tcPr>
            <w:tcW w:type="dxa" w:w="1900"/>
            <w:shd w:fill="F8FAFB" w:val="clear"/>
            <w:tcMar>
              <w:top w:type="dxa" w:w="45"/>
              <w:left w:type="dxa" w:w="110"/>
              <w:bottom w:type="dxa" w:w="45"/>
              <w:right w:type="dxa" w:w="110"/>
            </w:tcMar>
          </w:tcPr>
          <w:p>
            <w:pPr>
              <w:jc w:val="right"/>
            </w:pPr>
            <w:r>
              <w:rPr>
                <w:sz w:val="17"/>
                <w:szCs w:val="17"/>
              </w:rPr>
              <w:t xml:space="preserve">1,789</w:t>
            </w:r>
          </w:p>
        </w:tc>
      </w:tr>
      <w:tr>
        <w:tc>
          <w:tcPr>
            <w:tcW w:type="dxa" w:w="5100"/>
            <w:tcMar>
              <w:top w:type="dxa" w:w="45"/>
              <w:left w:type="dxa" w:w="110"/>
              <w:bottom w:type="dxa" w:w="45"/>
              <w:right w:type="dxa" w:w="110"/>
            </w:tcMar>
          </w:tcPr>
          <w:p>
            <w:pPr>
              <w:jc w:val="left"/>
            </w:pPr>
            <w:r>
              <w:rPr>
                <w:sz w:val="17"/>
                <w:szCs w:val="17"/>
              </w:rPr>
              <w:t xml:space="preserve">Surge Energy</w:t>
            </w:r>
          </w:p>
        </w:tc>
        <w:tc>
          <w:tcPr>
            <w:tcW w:type="dxa" w:w="1900"/>
            <w:tcMar>
              <w:top w:type="dxa" w:w="45"/>
              <w:left w:type="dxa" w:w="110"/>
              <w:bottom w:type="dxa" w:w="45"/>
              <w:right w:type="dxa" w:w="110"/>
            </w:tcMar>
          </w:tcPr>
          <w:p>
            <w:pPr>
              <w:jc w:val="right"/>
            </w:pPr>
            <w:r>
              <w:rPr>
                <w:sz w:val="17"/>
                <w:szCs w:val="17"/>
              </w:rPr>
              <w:t xml:space="preserve">1,220</w:t>
            </w:r>
          </w:p>
        </w:tc>
      </w:tr>
    </w:tbl>
    <w:p>
      <w:pPr>
        <w:pStyle w:val="Heading1"/>
        <w:pBdr>
          <w:bottom w:val="single" w:color="D5DBE0" w:sz="6"/>
        </w:pBdr>
        <w:spacing w:after="130" w:before="340"/>
      </w:pPr>
      <w:r>
        <w:rPr>
          <w:b/>
          <w:bCs/>
          <w:color w:val="1F4E5F"/>
          <w:sz w:val="28"/>
          <w:szCs w:val="28"/>
        </w:rPr>
        <w:t xml:space="preserve">Not in the data</w:t>
      </w:r>
    </w:p>
    <w:p>
      <w:pPr>
        <w:pStyle w:val="ListParagraph"/>
        <w:numPr>
          <w:ilvl w:val="0"/>
          <w:numId w:val="2"/>
        </w:numPr>
        <w:spacing w:after="60"/>
      </w:pPr>
      <w:r>
        <w:rPr>
          <w:sz w:val="19"/>
          <w:szCs w:val="19"/>
        </w:rPr>
        <w:t xml:space="preserve">Oil sands mining — Athabasca, north of Fort McMurray. Suncor (Base Plant, Fort Hills), CNRL (Horizon, AOSP), Imperial (Kearl), Syncrude. Roughly 1.3 MMbbl/d, withheld by Petrinex.</w:t>
      </w:r>
    </w:p>
    <w:p>
      <w:pPr>
        <w:pStyle w:val="ListParagraph"/>
        <w:numPr>
          <w:ilvl w:val="0"/>
          <w:numId w:val="2"/>
        </w:numPr>
        <w:spacing w:after="60"/>
      </w:pPr>
      <w:r>
        <w:rPr>
          <w:sz w:val="19"/>
          <w:szCs w:val="19"/>
        </w:rPr>
        <w:t xml:space="preserve">BC Montney — Groundbirch, Dawson Creek, Fort St John. Tourmaline, ARC, Ovintiv, Petronas, Shell. Needs BCER production data.</w:t>
      </w:r>
    </w:p>
    <w:p>
      <w:pPr>
        <w:pStyle w:val="ListParagraph"/>
        <w:numPr>
          <w:ilvl w:val="0"/>
          <w:numId w:val="2"/>
        </w:numPr>
        <w:spacing w:after="60"/>
      </w:pPr>
      <w:r>
        <w:rPr>
          <w:sz w:val="19"/>
          <w:szCs w:val="19"/>
        </w:rPr>
        <w:t xml:space="preserve">Saskatchewan — Bakken and Torquay around Estevan, Viking in the southwest, and Strathcona's Lloydminster Thermal. Whitecap is the main public Bakken name after the Veren acquisition. Needs the Petrinex SK pull.</w:t>
      </w:r>
    </w:p>
    <w:p>
      <w:pPr>
        <w:pStyle w:val="ListParagraph"/>
        <w:numPr>
          <w:ilvl w:val="0"/>
          <w:numId w:val="2"/>
        </w:numPr>
        <w:spacing w:after="60"/>
      </w:pPr>
      <w:r>
        <w:rPr>
          <w:sz w:val="19"/>
          <w:szCs w:val="19"/>
        </w:rPr>
        <w:t xml:space="preserve">Offshore Newfoundland — Hibernia, Terra Nova, Hebron, White Rose. Suncor, Cenovus, ExxonMobil.</w:t>
      </w:r>
    </w:p>
    <w:p>
      <w:pPr>
        <w:pStyle w:val="Heading1"/>
        <w:pBdr>
          <w:bottom w:val="single" w:color="D5DBE0" w:sz="6"/>
        </w:pBdr>
        <w:spacing w:after="130" w:before="340"/>
      </w:pPr>
      <w:r>
        <w:rPr>
          <w:b/>
          <w:bCs/>
          <w:color w:val="1F4E5F"/>
          <w:sz w:val="28"/>
          <w:szCs w:val="28"/>
        </w:rPr>
        <w:t xml:space="preserve">Infrastructure — the marketing half of the question</w:t>
      </w:r>
    </w:p>
    <w:p>
      <w:pPr>
        <w:spacing w:after="110"/>
      </w:pPr>
      <w:r>
        <w:rPr>
          <w:b/>
          <w:bCs/>
          <w:sz w:val="19"/>
          <w:szCs w:val="19"/>
        </w:rPr>
        <w:t xml:space="preserve">Gas. </w:t>
      </w:r>
      <w:r>
        <w:rPr>
          <w:sz w:val="19"/>
          <w:szCs w:val="19"/>
        </w:rPr>
        <w:t xml:space="preserve">NGTL gathers essentially all Alberta supply and hands off at Empress (east, to the TC Mainline and Saskatchewan) and the Alberta/BC border (west, via Foothills to Kingsgate). Alliance moves liquids-rich gas direct to Chicago. Westcoast T-South carries northeast BC gas to Huntingdon/Sumas. AECO is the Alberta hub; Station 2 is northeast BC.</w:t>
      </w:r>
    </w:p>
    <w:p>
      <w:pPr>
        <w:spacing w:after="110"/>
      </w:pPr>
      <w:r>
        <w:rPr>
          <w:i w:val="false"/>
          <w:iCs w:val="false"/>
          <w:sz w:val="19"/>
          <w:szCs w:val="19"/>
        </w:rPr>
        <w:t xml:space="preserve">LNG Canada at Kitimat, fed by Coastal GasLink, is the structural change — the first material new demand for WCSB gas in decades. Cedar LNG and Woodfibre follow.</w:t>
      </w:r>
    </w:p>
    <w:p>
      <w:pPr>
        <w:spacing w:after="110"/>
      </w:pPr>
      <w:r>
        <w:rPr>
          <w:b/>
          <w:bCs/>
          <w:sz w:val="19"/>
          <w:szCs w:val="19"/>
        </w:rPr>
        <w:t xml:space="preserve">Oil. </w:t>
      </w:r>
      <w:r>
        <w:rPr>
          <w:sz w:val="19"/>
          <w:szCs w:val="19"/>
        </w:rPr>
        <w:t xml:space="preserve">Enbridge Mainline to the US Midwest, Keystone to Cushing and the Gulf, TMX to Burnaby — the last of which changed the WCS differential. Heavy prices off WCS at Hardisty, light off Edmonton Par.</w:t>
      </w:r>
    </w:p>
    <w:p>
      <w:pPr>
        <w:pStyle w:val="Heading1"/>
        <w:pBdr>
          <w:bottom w:val="single" w:color="D5DBE0" w:sz="6"/>
        </w:pBdr>
        <w:spacing w:after="130" w:before="340"/>
      </w:pPr>
      <w:r>
        <w:rPr>
          <w:b/>
          <w:bCs/>
          <w:color w:val="1F4E5F"/>
          <w:sz w:val="28"/>
          <w:szCs w:val="28"/>
        </w:rPr>
        <w:t xml:space="preserve">Terminology</w:t>
      </w:r>
    </w:p>
    <w:p>
      <w:pPr>
        <w:pStyle w:val="Heading2"/>
        <w:spacing w:after="70" w:before="240"/>
      </w:pPr>
      <w:r>
        <w:rPr>
          <w:b/>
          <w:bCs/>
          <w:color w:val="1F4E5F"/>
          <w:sz w:val="23"/>
          <w:szCs w:val="23"/>
        </w:rPr>
        <w:t xml:space="preserve">Producing techniques</w:t>
      </w:r>
    </w:p>
    <w:p>
      <w:pPr>
        <w:spacing w:after="90"/>
        <w:ind w:left="28"/>
      </w:pPr>
      <w:r>
        <w:rPr>
          <w:b/>
          <w:bCs/>
          <w:color w:val="1F4E5F"/>
          <w:sz w:val="19"/>
          <w:szCs w:val="19"/>
        </w:rPr>
        <w:t xml:space="preserve">SAGD — </w:t>
      </w:r>
      <w:r>
        <w:rPr>
          <w:sz w:val="19"/>
          <w:szCs w:val="19"/>
        </w:rPr>
        <w:t xml:space="preserve">Steam Assisted Gravity Drainage. Two horizontal wells stacked about five metres apart; steam injected into the upper one heats the bitumen until it flows, and gravity drains it into the lower producer. Gas-intensive, so a SAGD operator's operating cost moves with AECO — thermal producers are a large source of Alberta gas demand.</w:t>
      </w:r>
    </w:p>
    <w:p>
      <w:pPr>
        <w:spacing w:after="90"/>
        <w:ind w:left="28"/>
      </w:pPr>
      <w:r>
        <w:rPr>
          <w:b/>
          <w:bCs/>
          <w:color w:val="1F4E5F"/>
          <w:sz w:val="19"/>
          <w:szCs w:val="19"/>
        </w:rPr>
        <w:t xml:space="preserve">CSS — </w:t>
      </w:r>
      <w:r>
        <w:rPr>
          <w:sz w:val="19"/>
          <w:szCs w:val="19"/>
        </w:rPr>
        <w:t xml:space="preserve">Cyclic Steam Stimulation, or "huff and puff". One well alternately injects steam and produces. Used at Cold Lake.</w:t>
      </w:r>
    </w:p>
    <w:p>
      <w:pPr>
        <w:spacing w:after="90"/>
        <w:ind w:left="28"/>
      </w:pPr>
      <w:r>
        <w:rPr>
          <w:b/>
          <w:bCs/>
          <w:color w:val="1F4E5F"/>
          <w:sz w:val="19"/>
          <w:szCs w:val="19"/>
        </w:rPr>
        <w:t xml:space="preserve">Mining — </w:t>
      </w:r>
      <w:r>
        <w:rPr>
          <w:sz w:val="19"/>
          <w:szCs w:val="19"/>
        </w:rPr>
        <w:t xml:space="preserve">Truck-and-shovel oil sands recovery where the deposit is shallow enough to dig, north of Fort McMurray. Not drilling at all, and withheld from this data.</w:t>
      </w:r>
    </w:p>
    <w:p>
      <w:pPr>
        <w:spacing w:after="90"/>
        <w:ind w:left="28"/>
      </w:pPr>
      <w:r>
        <w:rPr>
          <w:b/>
          <w:bCs/>
          <w:color w:val="1F4E5F"/>
          <w:sz w:val="19"/>
          <w:szCs w:val="19"/>
        </w:rPr>
        <w:t xml:space="preserve">SOR — </w:t>
      </w:r>
      <w:r>
        <w:rPr>
          <w:sz w:val="19"/>
          <w:szCs w:val="19"/>
        </w:rPr>
        <w:t xml:space="preserve">Steam-to-Oil Ratio — barrels of steam per barrel of bitumen. The efficiency metric for thermal projects: roughly 2.5 to 3.0 is good, above 4 is poor. Compared across projects the way well cost is compared in a shale play.</w:t>
      </w:r>
    </w:p>
    <w:p>
      <w:pPr>
        <w:spacing w:after="90"/>
        <w:ind w:left="28"/>
      </w:pPr>
      <w:r>
        <w:rPr>
          <w:b/>
          <w:bCs/>
          <w:color w:val="1F4E5F"/>
          <w:sz w:val="19"/>
          <w:szCs w:val="19"/>
        </w:rPr>
        <w:t xml:space="preserve">Multilateral — </w:t>
      </w:r>
      <w:r>
        <w:rPr>
          <w:sz w:val="19"/>
          <w:szCs w:val="19"/>
        </w:rPr>
        <w:t xml:space="preserve">Several horizontal legs drilled from one wellbore, spreading a single surface location across much more reservoir. The reason Clearwater wells are so capital-efficient.</w:t>
      </w:r>
    </w:p>
    <w:p>
      <w:pPr>
        <w:pStyle w:val="Heading2"/>
        <w:spacing w:after="70" w:before="240"/>
      </w:pPr>
      <w:r>
        <w:rPr>
          <w:b/>
          <w:bCs/>
          <w:color w:val="1F4E5F"/>
          <w:sz w:val="23"/>
          <w:szCs w:val="23"/>
        </w:rPr>
        <w:t xml:space="preserve">Volumes and well metrics</w:t>
      </w:r>
    </w:p>
    <w:p>
      <w:pPr>
        <w:spacing w:after="90"/>
        <w:ind w:left="28"/>
      </w:pPr>
      <w:r>
        <w:rPr>
          <w:b/>
          <w:bCs/>
          <w:color w:val="1F4E5F"/>
          <w:sz w:val="19"/>
          <w:szCs w:val="19"/>
        </w:rPr>
        <w:t xml:space="preserve">BOE — </w:t>
      </w:r>
      <w:r>
        <w:rPr>
          <w:sz w:val="19"/>
          <w:szCs w:val="19"/>
        </w:rPr>
        <w:t xml:space="preserve">Barrel of Oil Equivalent, converting gas at 6 Mcf to 1 barrel. An energy equivalence, not an economic one — at roughly $70 oil and $2 gas a gas boe is worth a fraction of an oil boe, which is why gas-weighted names always screen cheap on EV/boe.</w:t>
      </w:r>
    </w:p>
    <w:p>
      <w:pPr>
        <w:spacing w:after="90"/>
        <w:ind w:left="28"/>
      </w:pPr>
      <w:r>
        <w:rPr>
          <w:b/>
          <w:bCs/>
          <w:color w:val="1F4E5F"/>
          <w:sz w:val="19"/>
          <w:szCs w:val="19"/>
        </w:rPr>
        <w:t xml:space="preserve">EUR — </w:t>
      </w:r>
      <w:r>
        <w:rPr>
          <w:sz w:val="19"/>
          <w:szCs w:val="19"/>
        </w:rPr>
        <w:t xml:space="preserve">Estimated Ultimate Recovery — everything a well will produce over its life. The number behind every type curve and NAV, and contested because it extrapolates decline decades past what has been observed. Cannot be derived from five years of production data; it comes from a reserve report.</w:t>
      </w:r>
    </w:p>
    <w:p>
      <w:pPr>
        <w:spacing w:after="90"/>
        <w:ind w:left="28"/>
      </w:pPr>
      <w:r>
        <w:rPr>
          <w:b/>
          <w:bCs/>
          <w:color w:val="1F4E5F"/>
          <w:sz w:val="19"/>
          <w:szCs w:val="19"/>
        </w:rPr>
        <w:t xml:space="preserve">IP30 / IP90 — </w:t>
      </w:r>
      <w:r>
        <w:rPr>
          <w:sz w:val="19"/>
          <w:szCs w:val="19"/>
        </w:rPr>
        <w:t xml:space="preserve">Initial production averaged over the first 30 or 90 days. The standard well-quality benchmark. Note the first partial month understates a well badly — use month one or a three-month average.</w:t>
      </w:r>
    </w:p>
    <w:p>
      <w:pPr>
        <w:spacing w:after="90"/>
        <w:ind w:left="28"/>
      </w:pPr>
      <w:r>
        <w:rPr>
          <w:b/>
          <w:bCs/>
          <w:color w:val="1F4E5F"/>
          <w:sz w:val="19"/>
          <w:szCs w:val="19"/>
        </w:rPr>
        <w:t xml:space="preserve">Base decline — </w:t>
      </w:r>
      <w:r>
        <w:rPr>
          <w:sz w:val="19"/>
          <w:szCs w:val="19"/>
        </w:rPr>
        <w:t xml:space="preserve">How fast existing production falls without new drilling. Alberta gas runs about 25% a year; SAGD thermal is nearer 5 to 10%. The gap is the whole low-sustaining-capital argument for thermal names.</w:t>
      </w:r>
    </w:p>
    <w:p>
      <w:pPr>
        <w:spacing w:after="90"/>
        <w:ind w:left="28"/>
      </w:pPr>
      <w:r>
        <w:rPr>
          <w:b/>
          <w:bCs/>
          <w:color w:val="1F4E5F"/>
          <w:sz w:val="19"/>
          <w:szCs w:val="19"/>
        </w:rPr>
        <w:t xml:space="preserve">TIL — </w:t>
      </w:r>
      <w:r>
        <w:rPr>
          <w:sz w:val="19"/>
          <w:szCs w:val="19"/>
        </w:rPr>
        <w:t xml:space="preserve">Turned In Line — a well brought onto production. "TIL count" is an activity measure.</w:t>
      </w:r>
    </w:p>
    <w:p>
      <w:pPr>
        <w:spacing w:after="90"/>
        <w:ind w:left="28"/>
      </w:pPr>
      <w:r>
        <w:rPr>
          <w:b/>
          <w:bCs/>
          <w:color w:val="1F4E5F"/>
          <w:sz w:val="19"/>
          <w:szCs w:val="19"/>
        </w:rPr>
        <w:t xml:space="preserve">DUC — </w:t>
      </w:r>
      <w:r>
        <w:rPr>
          <w:sz w:val="19"/>
          <w:szCs w:val="19"/>
        </w:rPr>
        <w:t xml:space="preserve">Drilled but UnCompleted. Inventory between drilling and production; operators can add supply by working down DUCs without drilling, so it is a swing factor.</w:t>
      </w:r>
    </w:p>
    <w:p>
      <w:pPr>
        <w:spacing w:after="90"/>
        <w:ind w:left="28"/>
      </w:pPr>
      <w:r>
        <w:rPr>
          <w:b/>
          <w:bCs/>
          <w:color w:val="1F4E5F"/>
          <w:sz w:val="19"/>
          <w:szCs w:val="19"/>
        </w:rPr>
        <w:t xml:space="preserve">Type curve — </w:t>
      </w:r>
      <w:r>
        <w:rPr>
          <w:sz w:val="19"/>
          <w:szCs w:val="19"/>
        </w:rPr>
        <w:t xml:space="preserve">The expected production profile of an average well in a play, used to forecast and to value undrilled locations.</w:t>
      </w:r>
    </w:p>
    <w:p>
      <w:pPr>
        <w:pStyle w:val="Heading2"/>
        <w:spacing w:after="70" w:before="240"/>
      </w:pPr>
      <w:r>
        <w:rPr>
          <w:b/>
          <w:bCs/>
          <w:color w:val="1F4E5F"/>
          <w:sz w:val="23"/>
          <w:szCs w:val="23"/>
        </w:rPr>
        <w:t xml:space="preserve">Products and benchmarks</w:t>
      </w:r>
    </w:p>
    <w:p>
      <w:pPr>
        <w:spacing w:after="90"/>
        <w:ind w:left="28"/>
      </w:pPr>
      <w:r>
        <w:rPr>
          <w:b/>
          <w:bCs/>
          <w:color w:val="1F4E5F"/>
          <w:sz w:val="19"/>
          <w:szCs w:val="19"/>
        </w:rPr>
        <w:t xml:space="preserve">WCS at Hardisty — </w:t>
      </w:r>
      <w:r>
        <w:rPr>
          <w:sz w:val="19"/>
          <w:szCs w:val="19"/>
        </w:rPr>
        <w:t xml:space="preserve">Western Canadian Select — the heavy blended barrel, and the benchmark for oil sands and heavy oil. Its differential to WTI is driven by egress, and TMX is what changed it.</w:t>
      </w:r>
    </w:p>
    <w:p>
      <w:pPr>
        <w:spacing w:after="90"/>
        <w:ind w:left="28"/>
      </w:pPr>
      <w:r>
        <w:rPr>
          <w:b/>
          <w:bCs/>
          <w:color w:val="1F4E5F"/>
          <w:sz w:val="19"/>
          <w:szCs w:val="19"/>
        </w:rPr>
        <w:t xml:space="preserve">MSW / Edmonton Par — </w:t>
      </w:r>
      <w:r>
        <w:rPr>
          <w:sz w:val="19"/>
          <w:szCs w:val="19"/>
        </w:rPr>
        <w:t xml:space="preserve">Edmonton Light Sweet, the Canadian light crude benchmark. Distinct from condensate despite both quoting at Edmonton.</w:t>
      </w:r>
    </w:p>
    <w:p>
      <w:pPr>
        <w:spacing w:after="90"/>
        <w:ind w:left="28"/>
      </w:pPr>
      <w:r>
        <w:rPr>
          <w:b/>
          <w:bCs/>
          <w:color w:val="1F4E5F"/>
          <w:sz w:val="19"/>
          <w:szCs w:val="19"/>
        </w:rPr>
        <w:t xml:space="preserve">C5+ at Edmonton — </w:t>
      </w:r>
      <w:r>
        <w:rPr>
          <w:sz w:val="19"/>
          <w:szCs w:val="19"/>
        </w:rPr>
        <w:t xml:space="preserve">Pentanes plus — condensate, quoted against WTI. Demand comes from diluent rather than refining, and Western Canada is short, importing via Cochin. Frequently trades at or above WTI, unusual for a Canadian barrel.</w:t>
      </w:r>
    </w:p>
    <w:p>
      <w:pPr>
        <w:spacing w:after="90"/>
        <w:ind w:left="28"/>
      </w:pPr>
      <w:r>
        <w:rPr>
          <w:b/>
          <w:bCs/>
          <w:color w:val="1F4E5F"/>
          <w:sz w:val="19"/>
          <w:szCs w:val="19"/>
        </w:rPr>
        <w:t xml:space="preserve">Dilbit / diluent — </w:t>
      </w:r>
      <w:r>
        <w:rPr>
          <w:sz w:val="19"/>
          <w:szCs w:val="19"/>
        </w:rPr>
        <w:t xml:space="preserve">Bitumen will not flow in a pipeline, so it is blended with roughly 25 to 30% condensate to make dilbit. This is the link between the Montney and the oil sands: condensate demand is a function of thermal growth.</w:t>
      </w:r>
    </w:p>
    <w:p>
      <w:pPr>
        <w:spacing w:after="90"/>
        <w:ind w:left="28"/>
      </w:pPr>
      <w:r>
        <w:rPr>
          <w:b/>
          <w:bCs/>
          <w:color w:val="1F4E5F"/>
          <w:sz w:val="19"/>
          <w:szCs w:val="19"/>
        </w:rPr>
        <w:t xml:space="preserve">AECO — </w:t>
      </w:r>
      <w:r>
        <w:rPr>
          <w:sz w:val="19"/>
          <w:szCs w:val="19"/>
        </w:rPr>
        <w:t xml:space="preserve">The Alberta gas hub, priced on NGTL. Station 2 is the northeast BC equivalent; Dawn is Ontario; Henry Hub is the US benchmark.</w:t>
      </w:r>
    </w:p>
    <w:p>
      <w:pPr>
        <w:spacing w:after="90"/>
        <w:ind w:left="28"/>
      </w:pPr>
      <w:r>
        <w:rPr>
          <w:b/>
          <w:bCs/>
          <w:color w:val="1F4E5F"/>
          <w:sz w:val="19"/>
          <w:szCs w:val="19"/>
        </w:rPr>
        <w:t xml:space="preserve">Basis — </w:t>
      </w:r>
      <w:r>
        <w:rPr>
          <w:sz w:val="19"/>
          <w:szCs w:val="19"/>
        </w:rPr>
        <w:t xml:space="preserve">The differential between two hubs — AECO to Henry Hub, say. Driven by pipeline constraint, which is why outages and capacity move it.</w:t>
      </w:r>
    </w:p>
    <w:p>
      <w:pPr>
        <w:pStyle w:val="Heading2"/>
        <w:spacing w:after="70" w:before="240"/>
      </w:pPr>
      <w:r>
        <w:rPr>
          <w:b/>
          <w:bCs/>
          <w:color w:val="1F4E5F"/>
          <w:sz w:val="23"/>
          <w:szCs w:val="23"/>
        </w:rPr>
        <w:t xml:space="preserve">Transport and projects</w:t>
      </w:r>
    </w:p>
    <w:p>
      <w:pPr>
        <w:spacing w:after="90"/>
        <w:ind w:left="28"/>
      </w:pPr>
      <w:r>
        <w:rPr>
          <w:b/>
          <w:bCs/>
          <w:color w:val="1F4E5F"/>
          <w:sz w:val="19"/>
          <w:szCs w:val="19"/>
        </w:rPr>
        <w:t xml:space="preserve">FT / IT — </w:t>
      </w:r>
      <w:r>
        <w:rPr>
          <w:sz w:val="19"/>
          <w:szCs w:val="19"/>
        </w:rPr>
        <w:t xml:space="preserve">Firm and Interruptible Transportation. Firm shippers hold contracted capacity; interruptible is curtailed first when a pipeline is constrained. FT-R is receipt-side, FT-D delivery-side.</w:t>
      </w:r>
    </w:p>
    <w:p>
      <w:pPr>
        <w:spacing w:after="90"/>
        <w:ind w:left="28"/>
      </w:pPr>
      <w:r>
        <w:rPr>
          <w:b/>
          <w:bCs/>
          <w:color w:val="1F4E5F"/>
          <w:sz w:val="19"/>
          <w:szCs w:val="19"/>
        </w:rPr>
        <w:t xml:space="preserve">FID — </w:t>
      </w:r>
      <w:r>
        <w:rPr>
          <w:sz w:val="19"/>
          <w:szCs w:val="19"/>
        </w:rPr>
        <w:t xml:space="preserve">Final Investment Decision — the point a project is sanctioned. Pre-FID projects are optionality; post-FID they belong in a supply forecast.</w:t>
      </w:r>
    </w:p>
    <w:p>
      <w:pPr>
        <w:spacing w:after="90"/>
        <w:ind w:left="28"/>
      </w:pPr>
      <w:r>
        <w:rPr>
          <w:b/>
          <w:bCs/>
          <w:color w:val="1F4E5F"/>
          <w:sz w:val="19"/>
          <w:szCs w:val="19"/>
        </w:rPr>
        <w:t xml:space="preserve">Egress — </w:t>
      </w:r>
      <w:r>
        <w:rPr>
          <w:sz w:val="19"/>
          <w:szCs w:val="19"/>
        </w:rPr>
        <w:t xml:space="preserve">Pipeline capacity out of the basin. The binding constraint on Canadian oil pricing, and the reason WCS trades at a differential at all.</w:t>
      </w:r>
    </w:p>
    <w:p>
      <w:pPr>
        <w:pStyle w:val="Heading2"/>
        <w:spacing w:after="70" w:before="240"/>
      </w:pPr>
      <w:r>
        <w:rPr>
          <w:b/>
          <w:bCs/>
          <w:color w:val="1F4E5F"/>
          <w:sz w:val="23"/>
          <w:szCs w:val="23"/>
        </w:rPr>
        <w:t xml:space="preserve">Valuation</w:t>
      </w:r>
    </w:p>
    <w:p>
      <w:pPr>
        <w:spacing w:after="90"/>
        <w:ind w:left="28"/>
      </w:pPr>
      <w:r>
        <w:rPr>
          <w:b/>
          <w:bCs/>
          <w:color w:val="1F4E5F"/>
          <w:sz w:val="19"/>
          <w:szCs w:val="19"/>
        </w:rPr>
        <w:t xml:space="preserve">EV/DACF — </w:t>
      </w:r>
      <w:r>
        <w:rPr>
          <w:sz w:val="19"/>
          <w:szCs w:val="19"/>
        </w:rPr>
        <w:t xml:space="preserve">Enterprise value to debt-adjusted cash flow. The Canadian standard because it neutralises leverage and capital structure across comparables.</w:t>
      </w:r>
    </w:p>
    <w:p>
      <w:pPr>
        <w:spacing w:after="90"/>
        <w:ind w:left="28"/>
      </w:pPr>
      <w:r>
        <w:rPr>
          <w:b/>
          <w:bCs/>
          <w:color w:val="1F4E5F"/>
          <w:sz w:val="19"/>
          <w:szCs w:val="19"/>
        </w:rPr>
        <w:t xml:space="preserve">NAV — </w:t>
      </w:r>
      <w:r>
        <w:rPr>
          <w:sz w:val="19"/>
          <w:szCs w:val="19"/>
        </w:rPr>
        <w:t xml:space="preserve">Net asset value, usually the PV-10 of 2P reserves. Forces engagement with decline, reserve life and the price deck.</w:t>
      </w:r>
    </w:p>
    <w:p>
      <w:pPr>
        <w:spacing w:after="90"/>
        <w:ind w:left="28"/>
      </w:pPr>
      <w:r>
        <w:rPr>
          <w:b/>
          <w:bCs/>
          <w:color w:val="1F4E5F"/>
          <w:sz w:val="19"/>
          <w:szCs w:val="19"/>
        </w:rPr>
        <w:t xml:space="preserve">$/flowing barrel — </w:t>
      </w:r>
      <w:r>
        <w:rPr>
          <w:sz w:val="19"/>
          <w:szCs w:val="19"/>
        </w:rPr>
        <w:t xml:space="preserve">EV divided by current daily production. Standard for transaction comps, and misleading twice over: it ignores the 6:1 boe distortion and ignores decline, so two companies at the same $/flowing can have completely different sustaining capital.</w:t>
      </w:r>
    </w:p>
    <w:p>
      <w:pPr>
        <w:spacing w:after="90"/>
        <w:ind w:left="28"/>
      </w:pPr>
      <w:r>
        <w:rPr>
          <w:b/>
          <w:bCs/>
          <w:color w:val="1F4E5F"/>
          <w:sz w:val="19"/>
          <w:szCs w:val="19"/>
        </w:rPr>
        <w:t xml:space="preserve">Netback — </w:t>
      </w:r>
      <w:r>
        <w:rPr>
          <w:sz w:val="19"/>
          <w:szCs w:val="19"/>
        </w:rPr>
        <w:t xml:space="preserve">Realised price less transport, royalties and operating cost — what the producer actually keeps per barrel.</w:t>
      </w:r>
    </w:p>
    <w:p>
      <w:pPr>
        <w:spacing w:after="90"/>
        <w:ind w:left="28"/>
      </w:pPr>
      <w:r>
        <w:rPr>
          <w:b/>
          <w:bCs/>
          <w:color w:val="1F4E5F"/>
          <w:sz w:val="19"/>
          <w:szCs w:val="19"/>
        </w:rPr>
        <w:t xml:space="preserve">F&amp;D / recycle ratio — </w:t>
      </w:r>
      <w:r>
        <w:rPr>
          <w:sz w:val="19"/>
          <w:szCs w:val="19"/>
        </w:rPr>
        <w:t xml:space="preserve">Finding and development cost per boe; the recycle ratio is netback divided by F&amp;D, a measure of capital efficiency.</w:t>
      </w:r>
    </w:p>
    <w:p>
      <w:pPr>
        <w:pStyle w:val="Heading1"/>
        <w:pBdr>
          <w:bottom w:val="single" w:color="D5DBE0" w:sz="6"/>
        </w:pBdr>
        <w:spacing w:after="130" w:before="340"/>
      </w:pPr>
      <w:r>
        <w:rPr>
          <w:b/>
          <w:bCs/>
          <w:color w:val="1F4E5F"/>
          <w:sz w:val="28"/>
          <w:szCs w:val="28"/>
        </w:rPr>
        <w:t xml:space="preserve">Two things most candidates cannot say</w:t>
      </w:r>
    </w:p>
    <w:p>
      <w:pPr>
        <w:spacing w:after="110"/>
      </w:pPr>
      <w:r>
        <w:rPr>
          <w:b/>
          <w:bCs/>
          <w:sz w:val="19"/>
          <w:szCs w:val="19"/>
        </w:rPr>
        <w:t xml:space="preserve">Alberta gas runs a 25% base decline. </w:t>
      </w:r>
      <w:r>
        <w:rPr>
          <w:sz w:val="19"/>
          <w:szCs w:val="19"/>
        </w:rPr>
        <w:t xml:space="preserve">Wells producing a year ago make 3.2 Bcf/d less today. New wells added 3.7 Bcf/d, holding the province roughly flat at 13.2 Bcf/d. Wells under three years old are 82% of supply.</w:t>
      </w:r>
    </w:p>
    <w:p>
      <w:pPr>
        <w:spacing w:after="110"/>
      </w:pPr>
      <w:r>
        <w:rPr>
          <w:b/>
          <w:bCs/>
          <w:sz w:val="19"/>
          <w:szCs w:val="19"/>
        </w:rPr>
        <w:t xml:space="preserve">Horizontal well productivity peaked in 2024. </w:t>
      </w:r>
      <w:r>
        <w:rPr>
          <w:sz w:val="19"/>
          <w:szCs w:val="19"/>
        </w:rPr>
        <w:t xml:space="preserve">Measured at the same month of life, restricted to wells that ever exceed 1 MMcf/d, the 2024 cohort beats 2025 at every age. The basin holds production by drilling more wells, not better ones — which makes supply more sensitive to a capital pullback than a flat production line suggests.</w:t>
      </w:r>
    </w:p>
    <w:p>
      <w:pPr>
        <w:spacing w:after="110"/>
      </w:pPr>
      <w:r>
        <w:rPr>
          <w:i/>
          <w:iCs/>
          <w:sz w:val="19"/>
          <w:szCs w:val="19"/>
        </w:rPr>
        <w:t xml:space="preserve">Both are derived from well-level data, and both are falsifiable.</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2026-08-21T00:43:00.190Z</dcterms:created>
  <dcterms:modified xsi:type="dcterms:W3CDTF">2026-08-21T00:43:00.190Z</dcterms:modified>
</cp:coreProperties>
</file>

<file path=docProps/custom.xml><?xml version="1.0" encoding="utf-8"?>
<Properties xmlns="http://schemas.openxmlformats.org/officeDocument/2006/custom-properties" xmlns:vt="http://schemas.openxmlformats.org/officeDocument/2006/docPropsVTypes"/>
</file>