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b/>
          <w:bCs/>
          <w:color w:val="1F4E5F"/>
          <w:sz w:val="38"/>
          <w:szCs w:val="38"/>
        </w:rPr>
        <w:t xml:space="preserve">Canadian Plays and Operators</w:t>
      </w:r>
    </w:p>
    <w:p>
      <w:pPr>
        <w:pBdr>
          <w:bottom w:val="single" w:color="D5DBE0" w:sz="6"/>
        </w:pBdr>
        <w:spacing w:after="200"/>
      </w:pPr>
      <w:r>
        <w:rPr>
          <w:color w:val="6B7280"/>
          <w:sz w:val="21"/>
          <w:szCs w:val="21"/>
        </w:rPr>
        <w:t xml:space="preserve">Interview reference — production data June 2026</w:t>
      </w:r>
    </w:p>
    <w:p>
      <w:pPr>
        <w:spacing w:after="110"/>
      </w:pPr>
      <w:r>
        <w:rPr>
          <w:b/>
          <w:bCs/>
          <w:sz w:val="19"/>
          <w:szCs w:val="19"/>
        </w:rPr>
        <w:t xml:space="preserve">How to use the numbers. </w:t>
      </w:r>
      <w:r>
        <w:rPr>
          <w:sz w:val="19"/>
          <w:szCs w:val="19"/>
        </w:rPr>
        <w:t xml:space="preserve">Operator volumes are measured — Petrinex volumetric data joined to AER ST37, attributed by well licensee. Play assignment is geographic and therefore approximate: wells are binned by bottom-hole location, so a company straddling two plays is split between them. Validated against known footprints (Imperial's Cold Lake figure equals its entire Alberta output, which is correct).</w:t>
      </w:r>
    </w:p>
    <w:p>
      <w:pPr>
        <w:pStyle w:val="ListParagraph"/>
        <w:numPr>
          <w:ilvl w:val="0"/>
          <w:numId w:val="2"/>
        </w:numPr>
        <w:spacing w:after="60"/>
      </w:pPr>
      <w:r>
        <w:rPr>
          <w:sz w:val="19"/>
          <w:szCs w:val="19"/>
        </w:rPr>
        <w:t xml:space="preserve">Alberta only. Tourmaline and ARC are understated — both hold material BC Montney.</w:t>
      </w:r>
    </w:p>
    <w:p>
      <w:pPr>
        <w:pStyle w:val="ListParagraph"/>
        <w:numPr>
          <w:ilvl w:val="0"/>
          <w:numId w:val="2"/>
        </w:numPr>
        <w:spacing w:after="60"/>
      </w:pPr>
      <w:r>
        <w:rPr>
          <w:sz w:val="19"/>
          <w:szCs w:val="19"/>
        </w:rPr>
        <w:t xml:space="preserve">Conventional only. Mined oil sands are withheld by Petrinex, so add roughly 1.3 MMbbl/d for Suncor, CNRL and Imperial.</w:t>
      </w:r>
    </w:p>
    <w:p>
      <w:pPr>
        <w:pStyle w:val="ListParagraph"/>
        <w:numPr>
          <w:ilvl w:val="0"/>
          <w:numId w:val="2"/>
        </w:numPr>
        <w:spacing w:after="60"/>
      </w:pPr>
      <w:r>
        <w:rPr>
          <w:sz w:val="19"/>
          <w:szCs w:val="19"/>
        </w:rPr>
        <w:t xml:space="preserve">The Deep Basin / Montney boundary is genuinely fuzzy. Wells are assigned to the first play whose box contains them, so the Montney takes the overlap and the Deep Basin figure is correspondingly lower.</w:t>
      </w:r>
    </w:p>
    <w:p>
      <w:pPr>
        <w:pStyle w:val="ListParagraph"/>
        <w:numPr>
          <w:ilvl w:val="0"/>
          <w:numId w:val="2"/>
        </w:numPr>
        <w:spacing w:after="60"/>
      </w:pPr>
      <w:r>
        <w:rPr>
          <w:sz w:val="19"/>
          <w:szCs w:val="19"/>
        </w:rPr>
        <w:t xml:space="preserve">Condensate is understated at the well level — see the caveat before the play list ends. Gas and crude oil are reliable.</w:t>
      </w:r>
    </w:p>
    <w:p>
      <w:pPr>
        <w:pStyle w:val="ListParagraph"/>
        <w:numPr>
          <w:ilvl w:val="0"/>
          <w:numId w:val="2"/>
        </w:numPr>
        <w:spacing w:after="60"/>
      </w:pPr>
      <w:r>
        <w:rPr>
          <w:sz w:val="19"/>
          <w:szCs w:val="19"/>
        </w:rPr>
        <w:t xml:space="preserve">BOE is 6 Mcf to 1 barrel — an energy equivalence, not an economic one. At current prices a gas boe is worth a fraction of an oil boe, so never compare a gas-weighted play to an oil one on BOE alone.</w:t>
      </w:r>
    </w:p>
    <w:p>
      <w:pPr>
        <w:spacing w:after="180"/>
      </w:pPr>
      <w:r>
        <w:rPr>
          <w:i w:val="false"/>
          <w:iCs w:val="false"/>
          <w:color w:val="6B7280"/>
          <w:sz w:val="19"/>
          <w:szCs w:val="19"/>
        </w:rPr>
        <w:t xml:space="preserve">Alberta totals: 13.2 Bcf/d gas · 1.97 MMbbl/d bitumen · 550 Mbbl/d conventional crude · roughly 4.5 MMboe/d across all plays.</w:t>
      </w:r>
    </w:p>
    <w:p>
      <w:pPr>
        <w:pStyle w:val="Heading1"/>
        <w:pBdr>
          <w:bottom w:val="single" w:color="D5DBE0" w:sz="6"/>
        </w:pBdr>
        <w:spacing w:after="130" w:before="340"/>
      </w:pPr>
      <w:r>
        <w:rPr>
          <w:b/>
          <w:bCs/>
          <w:color w:val="1F4E5F"/>
          <w:sz w:val="28"/>
          <w:szCs w:val="28"/>
        </w:rPr>
        <w:t xml:space="preserve">Gas plays</w:t>
      </w:r>
    </w:p>
    <w:p>
      <w:pPr>
        <w:pStyle w:val="Heading2"/>
        <w:spacing w:after="70" w:before="240"/>
      </w:pPr>
      <w:r>
        <w:rPr>
          <w:b/>
          <w:bCs/>
          <w:color w:val="1F4E5F"/>
          <w:sz w:val="23"/>
          <w:szCs w:val="23"/>
        </w:rPr>
        <w:t xml:space="preserve">Montney — Alberta side</w:t>
      </w:r>
    </w:p>
    <w:p>
      <w:pPr>
        <w:spacing w:after="110"/>
      </w:pPr>
      <w:r>
        <w:rPr>
          <w:i w:val="false"/>
          <w:iCs w:val="false"/>
          <w:sz w:val="19"/>
          <w:szCs w:val="19"/>
        </w:rPr>
        <w:t xml:space="preserve">Grande Prairie, Kakwa, Wapiti, Pipestone. Liquids-rich: the condensate is worth more than the gas, and it is the condensate that makes these wells work. It prices as C5+ at Edmonton — pentanes plus, quoted against WTI — which is a different stream from Edmonton Light Sweet, the light crude benchmark. C5+ often trades at or above WTI because it is the diluent blended into bitumen, so Montney condensate economics depend on oil sands growth. The BC side — Groundbirch, Dawson Creek, Fort St John — is drier and not captured here.</w:t>
      </w:r>
    </w:p>
    <w:p>
      <w:pPr>
        <w:shd w:fill="EEF3F6" w:val="clear"/>
        <w:spacing w:after="100" w:before="40"/>
      </w:pPr>
      <w:r>
        <w:rPr>
          <w:b/>
          <w:bCs/>
          <w:color w:val="1F4E5F"/>
          <w:sz w:val="19"/>
          <w:szCs w:val="19"/>
        </w:rPr>
        <w:t xml:space="preserve">  950,438 boe/d  —  4,678 MMcf/d gas · 52,930 b/d condensate · 117,850 b/d oil  ·  82%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MMcf/d</w:t>
            </w:r>
          </w:p>
        </w:tc>
      </w:tr>
      <w:tr>
        <w:tc>
          <w:tcPr>
            <w:tcW w:type="dxa" w:w="5100"/>
            <w:tcMar>
              <w:top w:type="dxa" w:w="45"/>
              <w:left w:type="dxa" w:w="110"/>
              <w:bottom w:type="dxa" w:w="45"/>
              <w:right w:type="dxa" w:w="110"/>
            </w:tcMar>
          </w:tcPr>
          <w:p>
            <w:pPr>
              <w:jc w:val="left"/>
            </w:pPr>
            <w:r>
              <w:rPr>
                <w:sz w:val="17"/>
                <w:szCs w:val="17"/>
              </w:rPr>
              <w:t xml:space="preserve">Ovintiv</w:t>
            </w:r>
          </w:p>
        </w:tc>
        <w:tc>
          <w:tcPr>
            <w:tcW w:type="dxa" w:w="1900"/>
            <w:tcMar>
              <w:top w:type="dxa" w:w="45"/>
              <w:left w:type="dxa" w:w="110"/>
              <w:bottom w:type="dxa" w:w="45"/>
              <w:right w:type="dxa" w:w="110"/>
            </w:tcMar>
          </w:tcPr>
          <w:p>
            <w:pPr>
              <w:jc w:val="right"/>
            </w:pPr>
            <w:r>
              <w:rPr>
                <w:sz w:val="17"/>
                <w:szCs w:val="17"/>
              </w:rPr>
              <w:t xml:space="preserve">963</w:t>
            </w:r>
          </w:p>
        </w:tc>
      </w:tr>
      <w:tr>
        <w:tc>
          <w:tcPr>
            <w:tcW w:type="dxa" w:w="5100"/>
            <w:shd w:fill="F8FAFB" w:val="clear"/>
            <w:tcMar>
              <w:top w:type="dxa" w:w="45"/>
              <w:left w:type="dxa" w:w="110"/>
              <w:bottom w:type="dxa" w:w="45"/>
              <w:right w:type="dxa" w:w="110"/>
            </w:tcMar>
          </w:tcPr>
          <w:p>
            <w:pPr>
              <w:jc w:val="left"/>
            </w:pPr>
            <w:r>
              <w:rPr>
                <w:sz w:val="17"/>
                <w:szCs w:val="17"/>
              </w:rPr>
              <w:t xml:space="preserve">Canadian Natural</w:t>
            </w:r>
          </w:p>
        </w:tc>
        <w:tc>
          <w:tcPr>
            <w:tcW w:type="dxa" w:w="1900"/>
            <w:shd w:fill="F8FAFB" w:val="clear"/>
            <w:tcMar>
              <w:top w:type="dxa" w:w="45"/>
              <w:left w:type="dxa" w:w="110"/>
              <w:bottom w:type="dxa" w:w="45"/>
              <w:right w:type="dxa" w:w="110"/>
            </w:tcMar>
          </w:tcPr>
          <w:p>
            <w:pPr>
              <w:jc w:val="right"/>
            </w:pPr>
            <w:r>
              <w:rPr>
                <w:sz w:val="17"/>
                <w:szCs w:val="17"/>
              </w:rPr>
              <w:t xml:space="preserve">841</w:t>
            </w:r>
          </w:p>
        </w:tc>
      </w:tr>
      <w:tr>
        <w:tc>
          <w:tcPr>
            <w:tcW w:type="dxa" w:w="5100"/>
            <w:tcMar>
              <w:top w:type="dxa" w:w="45"/>
              <w:left w:type="dxa" w:w="110"/>
              <w:bottom w:type="dxa" w:w="45"/>
              <w:right w:type="dxa" w:w="110"/>
            </w:tcMar>
          </w:tcPr>
          <w:p>
            <w:pPr>
              <w:jc w:val="left"/>
            </w:pPr>
            <w:r>
              <w:rPr>
                <w:sz w:val="17"/>
                <w:szCs w:val="17"/>
              </w:rPr>
              <w:t xml:space="preserve">Tourmaline</w:t>
            </w:r>
          </w:p>
        </w:tc>
        <w:tc>
          <w:tcPr>
            <w:tcW w:type="dxa" w:w="1900"/>
            <w:tcMar>
              <w:top w:type="dxa" w:w="45"/>
              <w:left w:type="dxa" w:w="110"/>
              <w:bottom w:type="dxa" w:w="45"/>
              <w:right w:type="dxa" w:w="110"/>
            </w:tcMar>
          </w:tcPr>
          <w:p>
            <w:pPr>
              <w:jc w:val="right"/>
            </w:pPr>
            <w:r>
              <w:rPr>
                <w:sz w:val="17"/>
                <w:szCs w:val="17"/>
              </w:rPr>
              <w:t xml:space="preserve">611</w:t>
            </w:r>
          </w:p>
        </w:tc>
      </w:tr>
      <w:tr>
        <w:tc>
          <w:tcPr>
            <w:tcW w:type="dxa" w:w="5100"/>
            <w:shd w:fill="F8FAFB" w:val="clear"/>
            <w:tcMar>
              <w:top w:type="dxa" w:w="45"/>
              <w:left w:type="dxa" w:w="110"/>
              <w:bottom w:type="dxa" w:w="45"/>
              <w:right w:type="dxa" w:w="110"/>
            </w:tcMar>
          </w:tcPr>
          <w:p>
            <w:pPr>
              <w:jc w:val="left"/>
            </w:pPr>
            <w:r>
              <w:rPr>
                <w:sz w:val="17"/>
                <w:szCs w:val="17"/>
              </w:rPr>
              <w:t xml:space="preserve">ARC Resources</w:t>
            </w:r>
          </w:p>
        </w:tc>
        <w:tc>
          <w:tcPr>
            <w:tcW w:type="dxa" w:w="1900"/>
            <w:shd w:fill="F8FAFB" w:val="clear"/>
            <w:tcMar>
              <w:top w:type="dxa" w:w="45"/>
              <w:left w:type="dxa" w:w="110"/>
              <w:bottom w:type="dxa" w:w="45"/>
              <w:right w:type="dxa" w:w="110"/>
            </w:tcMar>
          </w:tcPr>
          <w:p>
            <w:pPr>
              <w:jc w:val="right"/>
            </w:pPr>
            <w:r>
              <w:rPr>
                <w:sz w:val="17"/>
                <w:szCs w:val="17"/>
              </w:rPr>
              <w:t xml:space="preserve">550</w:t>
            </w:r>
          </w:p>
        </w:tc>
      </w:tr>
      <w:tr>
        <w:tc>
          <w:tcPr>
            <w:tcW w:type="dxa" w:w="5100"/>
            <w:tcMar>
              <w:top w:type="dxa" w:w="45"/>
              <w:left w:type="dxa" w:w="110"/>
              <w:bottom w:type="dxa" w:w="45"/>
              <w:right w:type="dxa" w:w="110"/>
            </w:tcMar>
          </w:tcPr>
          <w:p>
            <w:pPr>
              <w:jc w:val="left"/>
            </w:pPr>
            <w:r>
              <w:rPr>
                <w:sz w:val="17"/>
                <w:szCs w:val="17"/>
              </w:rPr>
              <w:t xml:space="preserve">Whitecap</w:t>
            </w:r>
          </w:p>
        </w:tc>
        <w:tc>
          <w:tcPr>
            <w:tcW w:type="dxa" w:w="1900"/>
            <w:tcMar>
              <w:top w:type="dxa" w:w="45"/>
              <w:left w:type="dxa" w:w="110"/>
              <w:bottom w:type="dxa" w:w="45"/>
              <w:right w:type="dxa" w:w="110"/>
            </w:tcMar>
          </w:tcPr>
          <w:p>
            <w:pPr>
              <w:jc w:val="right"/>
            </w:pPr>
            <w:r>
              <w:rPr>
                <w:sz w:val="17"/>
                <w:szCs w:val="17"/>
              </w:rPr>
              <w:t xml:space="preserve">395</w:t>
            </w:r>
          </w:p>
        </w:tc>
      </w:tr>
      <w:tr>
        <w:tc>
          <w:tcPr>
            <w:tcW w:type="dxa" w:w="5100"/>
            <w:shd w:fill="F8FAFB" w:val="clear"/>
            <w:tcMar>
              <w:top w:type="dxa" w:w="45"/>
              <w:left w:type="dxa" w:w="110"/>
              <w:bottom w:type="dxa" w:w="45"/>
              <w:right w:type="dxa" w:w="110"/>
            </w:tcMar>
          </w:tcPr>
          <w:p>
            <w:pPr>
              <w:jc w:val="left"/>
            </w:pPr>
            <w:r>
              <w:rPr>
                <w:sz w:val="17"/>
                <w:szCs w:val="17"/>
              </w:rPr>
              <w:t xml:space="preserve">Birchcliff</w:t>
            </w:r>
          </w:p>
        </w:tc>
        <w:tc>
          <w:tcPr>
            <w:tcW w:type="dxa" w:w="1900"/>
            <w:shd w:fill="F8FAFB" w:val="clear"/>
            <w:tcMar>
              <w:top w:type="dxa" w:w="45"/>
              <w:left w:type="dxa" w:w="110"/>
              <w:bottom w:type="dxa" w:w="45"/>
              <w:right w:type="dxa" w:w="110"/>
            </w:tcMar>
          </w:tcPr>
          <w:p>
            <w:pPr>
              <w:jc w:val="right"/>
            </w:pPr>
            <w:r>
              <w:rPr>
                <w:sz w:val="17"/>
                <w:szCs w:val="17"/>
              </w:rPr>
              <w:t xml:space="preserve">361</w:t>
            </w:r>
          </w:p>
        </w:tc>
      </w:tr>
    </w:tbl>
    <w:p>
      <w:pPr>
        <w:spacing w:after="110"/>
      </w:pPr>
      <w:r>
        <w:rPr>
          <w:i w:val="false"/>
          <w:iCs w:val="false"/>
          <w:color w:val="6B7280"/>
          <w:sz w:val="19"/>
          <w:szCs w:val="19"/>
        </w:rPr>
        <w:t xml:space="preserve">Also NuVista (Wapiti/Pipestone), Kelt and Paramount. On the BC side, Petronas and Shell tied to LNG Canada.</w:t>
      </w:r>
    </w:p>
    <w:p>
      <w:pPr>
        <w:spacing w:after="110"/>
      </w:pPr>
      <w:r>
        <w:rPr>
          <w:b/>
          <w:bCs/>
          <w:sz w:val="19"/>
          <w:szCs w:val="19"/>
        </w:rPr>
        <w:t xml:space="preserve">The liquids. </w:t>
      </w:r>
      <w:r>
        <w:rPr>
          <w:sz w:val="19"/>
          <w:szCs w:val="19"/>
        </w:rPr>
        <w:t xml:space="preserve">Two separate streams sit inside that 170,780 b/d, and they are not the same business. The condensate is gas-well liquid — it comes out of the same wellbore as the gas and is the reason a Montney well pays. The crude is conventional oil from older pools inside the same geographic box, largely Charlie Lake and Montney oil-window wells, and it belongs to a different set of operators.</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b/d crude</w:t>
            </w:r>
          </w:p>
        </w:tc>
      </w:tr>
      <w:tr>
        <w:tc>
          <w:tcPr>
            <w:tcW w:type="dxa" w:w="5100"/>
            <w:tcMar>
              <w:top w:type="dxa" w:w="45"/>
              <w:left w:type="dxa" w:w="110"/>
              <w:bottom w:type="dxa" w:w="45"/>
              <w:right w:type="dxa" w:w="110"/>
            </w:tcMar>
          </w:tcPr>
          <w:p>
            <w:pPr>
              <w:jc w:val="left"/>
            </w:pPr>
            <w:r>
              <w:rPr>
                <w:sz w:val="17"/>
                <w:szCs w:val="17"/>
              </w:rPr>
              <w:t xml:space="preserve">Whitecap Partnership</w:t>
            </w:r>
          </w:p>
        </w:tc>
        <w:tc>
          <w:tcPr>
            <w:tcW w:type="dxa" w:w="1900"/>
            <w:tcMar>
              <w:top w:type="dxa" w:w="45"/>
              <w:left w:type="dxa" w:w="110"/>
              <w:bottom w:type="dxa" w:w="45"/>
              <w:right w:type="dxa" w:w="110"/>
            </w:tcMar>
          </w:tcPr>
          <w:p>
            <w:pPr>
              <w:jc w:val="right"/>
            </w:pPr>
            <w:r>
              <w:rPr>
                <w:sz w:val="17"/>
                <w:szCs w:val="17"/>
              </w:rPr>
              <w:t xml:space="preserve">37,399</w:t>
            </w:r>
          </w:p>
        </w:tc>
      </w:tr>
      <w:tr>
        <w:tc>
          <w:tcPr>
            <w:tcW w:type="dxa" w:w="5100"/>
            <w:shd w:fill="F8FAFB" w:val="clear"/>
            <w:tcMar>
              <w:top w:type="dxa" w:w="45"/>
              <w:left w:type="dxa" w:w="110"/>
              <w:bottom w:type="dxa" w:w="45"/>
              <w:right w:type="dxa" w:w="110"/>
            </w:tcMar>
          </w:tcPr>
          <w:p>
            <w:pPr>
              <w:jc w:val="left"/>
            </w:pPr>
            <w:r>
              <w:rPr>
                <w:sz w:val="17"/>
                <w:szCs w:val="17"/>
              </w:rPr>
              <w:t xml:space="preserve">Canadian Natural</w:t>
            </w:r>
          </w:p>
        </w:tc>
        <w:tc>
          <w:tcPr>
            <w:tcW w:type="dxa" w:w="1900"/>
            <w:shd w:fill="F8FAFB" w:val="clear"/>
            <w:tcMar>
              <w:top w:type="dxa" w:w="45"/>
              <w:left w:type="dxa" w:w="110"/>
              <w:bottom w:type="dxa" w:w="45"/>
              <w:right w:type="dxa" w:w="110"/>
            </w:tcMar>
          </w:tcPr>
          <w:p>
            <w:pPr>
              <w:jc w:val="right"/>
            </w:pPr>
            <w:r>
              <w:rPr>
                <w:sz w:val="17"/>
                <w:szCs w:val="17"/>
              </w:rPr>
              <w:t xml:space="preserve">31,455</w:t>
            </w:r>
          </w:p>
        </w:tc>
      </w:tr>
      <w:tr>
        <w:tc>
          <w:tcPr>
            <w:tcW w:type="dxa" w:w="5100"/>
            <w:tcMar>
              <w:top w:type="dxa" w:w="45"/>
              <w:left w:type="dxa" w:w="110"/>
              <w:bottom w:type="dxa" w:w="45"/>
              <w:right w:type="dxa" w:w="110"/>
            </w:tcMar>
          </w:tcPr>
          <w:p>
            <w:pPr>
              <w:jc w:val="left"/>
            </w:pPr>
            <w:r>
              <w:rPr>
                <w:sz w:val="17"/>
                <w:szCs w:val="17"/>
              </w:rPr>
              <w:t xml:space="preserve">Tamarack Valley</w:t>
            </w:r>
          </w:p>
        </w:tc>
        <w:tc>
          <w:tcPr>
            <w:tcW w:type="dxa" w:w="1900"/>
            <w:tcMar>
              <w:top w:type="dxa" w:w="45"/>
              <w:left w:type="dxa" w:w="110"/>
              <w:bottom w:type="dxa" w:w="45"/>
              <w:right w:type="dxa" w:w="110"/>
            </w:tcMar>
          </w:tcPr>
          <w:p>
            <w:pPr>
              <w:jc w:val="right"/>
            </w:pPr>
            <w:r>
              <w:rPr>
                <w:sz w:val="17"/>
                <w:szCs w:val="17"/>
              </w:rPr>
              <w:t xml:space="preserve">8,864</w:t>
            </w:r>
          </w:p>
        </w:tc>
      </w:tr>
      <w:tr>
        <w:tc>
          <w:tcPr>
            <w:tcW w:type="dxa" w:w="5100"/>
            <w:shd w:fill="F8FAFB" w:val="clear"/>
            <w:tcMar>
              <w:top w:type="dxa" w:w="45"/>
              <w:left w:type="dxa" w:w="110"/>
              <w:bottom w:type="dxa" w:w="45"/>
              <w:right w:type="dxa" w:w="110"/>
            </w:tcMar>
          </w:tcPr>
          <w:p>
            <w:pPr>
              <w:jc w:val="left"/>
            </w:pPr>
            <w:r>
              <w:rPr>
                <w:sz w:val="17"/>
                <w:szCs w:val="17"/>
              </w:rPr>
              <w:t xml:space="preserve">Whitecap Resources</w:t>
            </w:r>
          </w:p>
        </w:tc>
        <w:tc>
          <w:tcPr>
            <w:tcW w:type="dxa" w:w="1900"/>
            <w:shd w:fill="F8FAFB" w:val="clear"/>
            <w:tcMar>
              <w:top w:type="dxa" w:w="45"/>
              <w:left w:type="dxa" w:w="110"/>
              <w:bottom w:type="dxa" w:w="45"/>
              <w:right w:type="dxa" w:w="110"/>
            </w:tcMar>
          </w:tcPr>
          <w:p>
            <w:pPr>
              <w:jc w:val="right"/>
            </w:pPr>
            <w:r>
              <w:rPr>
                <w:sz w:val="17"/>
                <w:szCs w:val="17"/>
              </w:rPr>
              <w:t xml:space="preserve">7,132</w:t>
            </w:r>
          </w:p>
        </w:tc>
      </w:tr>
      <w:tr>
        <w:tc>
          <w:tcPr>
            <w:tcW w:type="dxa" w:w="5100"/>
            <w:tcMar>
              <w:top w:type="dxa" w:w="45"/>
              <w:left w:type="dxa" w:w="110"/>
              <w:bottom w:type="dxa" w:w="45"/>
              <w:right w:type="dxa" w:w="110"/>
            </w:tcMar>
          </w:tcPr>
          <w:p>
            <w:pPr>
              <w:jc w:val="left"/>
            </w:pPr>
            <w:r>
              <w:rPr>
                <w:sz w:val="17"/>
                <w:szCs w:val="17"/>
              </w:rPr>
              <w:t xml:space="preserve">Advantage Energy</w:t>
            </w:r>
          </w:p>
        </w:tc>
        <w:tc>
          <w:tcPr>
            <w:tcW w:type="dxa" w:w="1900"/>
            <w:tcMar>
              <w:top w:type="dxa" w:w="45"/>
              <w:left w:type="dxa" w:w="110"/>
              <w:bottom w:type="dxa" w:w="45"/>
              <w:right w:type="dxa" w:w="110"/>
            </w:tcMar>
          </w:tcPr>
          <w:p>
            <w:pPr>
              <w:jc w:val="right"/>
            </w:pPr>
            <w:r>
              <w:rPr>
                <w:sz w:val="17"/>
                <w:szCs w:val="17"/>
              </w:rPr>
              <w:t xml:space="preserve">5,864</w:t>
            </w:r>
          </w:p>
        </w:tc>
      </w:tr>
      <w:tr>
        <w:tc>
          <w:tcPr>
            <w:tcW w:type="dxa" w:w="5100"/>
            <w:shd w:fill="F8FAFB" w:val="clear"/>
            <w:tcMar>
              <w:top w:type="dxa" w:w="45"/>
              <w:left w:type="dxa" w:w="110"/>
              <w:bottom w:type="dxa" w:w="45"/>
              <w:right w:type="dxa" w:w="110"/>
            </w:tcMar>
          </w:tcPr>
          <w:p>
            <w:pPr>
              <w:jc w:val="left"/>
            </w:pPr>
            <w:r>
              <w:rPr>
                <w:sz w:val="17"/>
                <w:szCs w:val="17"/>
              </w:rPr>
              <w:t xml:space="preserve">Archer Exploration</w:t>
            </w:r>
          </w:p>
        </w:tc>
        <w:tc>
          <w:tcPr>
            <w:tcW w:type="dxa" w:w="1900"/>
            <w:shd w:fill="F8FAFB" w:val="clear"/>
            <w:tcMar>
              <w:top w:type="dxa" w:w="45"/>
              <w:left w:type="dxa" w:w="110"/>
              <w:bottom w:type="dxa" w:w="45"/>
              <w:right w:type="dxa" w:w="110"/>
            </w:tcMar>
          </w:tcPr>
          <w:p>
            <w:pPr>
              <w:jc w:val="right"/>
            </w:pPr>
            <w:r>
              <w:rPr>
                <w:sz w:val="17"/>
                <w:szCs w:val="17"/>
              </w:rPr>
              <w:t xml:space="preserve">5,402</w:t>
            </w:r>
          </w:p>
        </w:tc>
      </w:tr>
    </w:tbl>
    <w:p>
      <w:pPr>
        <w:spacing w:after="110"/>
      </w:pPr>
      <w:r>
        <w:rPr>
          <w:i w:val="false"/>
          <w:iCs w:val="false"/>
          <w:color w:val="6B7280"/>
          <w:sz w:val="19"/>
          <w:szCs w:val="19"/>
        </w:rPr>
        <w:t xml:space="preserve">Note that the crude leaders are almost entirely absent from the gas table above, and the gas leaders are absent from this one. Grande Prairie is two overlapping industries sharing a postal code.</w:t>
      </w:r>
    </w:p>
    <w:p>
      <w:pPr>
        <w:spacing w:after="110"/>
      </w:pPr>
      <w:r>
        <w:rPr>
          <w:b/>
          <w:bCs/>
          <w:sz w:val="19"/>
          <w:szCs w:val="19"/>
        </w:rPr>
        <w:t xml:space="preserve">Condensate yield. </w:t>
      </w:r>
      <w:r>
        <w:rPr>
          <w:sz w:val="19"/>
          <w:szCs w:val="19"/>
        </w:rPr>
        <w:t xml:space="preserve">Well-level reporting gives 11.3 bbl/MMcf, but that captures only field-measured liquid. Adding C5+ recovered at gas plants inside the play brings the figure to 121,993 b/d, or 26.1 bbl/MMcf — more than double. That is the number to quote for the play. Never quote it operator by operator: see the condensate caveat below.</w:t>
      </w:r>
    </w:p>
    <w:p>
      <w:pPr>
        <w:pStyle w:val="Heading2"/>
        <w:spacing w:after="70" w:before="240"/>
      </w:pPr>
      <w:r>
        <w:rPr>
          <w:b/>
          <w:bCs/>
          <w:color w:val="1F4E5F"/>
          <w:sz w:val="23"/>
          <w:szCs w:val="23"/>
        </w:rPr>
        <w:t xml:space="preserve">Deep Basin — Wapiti to Edson</w:t>
      </w:r>
    </w:p>
    <w:p>
      <w:pPr>
        <w:spacing w:after="110"/>
      </w:pPr>
      <w:r>
        <w:rPr>
          <w:i w:val="false"/>
          <w:iCs w:val="false"/>
          <w:sz w:val="19"/>
          <w:szCs w:val="19"/>
        </w:rPr>
        <w:t xml:space="preserve">West-central Alberta tight gas. Spirit River, Wilrich and Falher are geological formations stacked vertically, so one surface location can access several targets — that is where the cost advantage comes from. Lower decline and lower cost than the Montney but less liquids. Peyto is the pure play and the standard reference for a low-cost operator.</w:t>
      </w:r>
    </w:p>
    <w:p>
      <w:pPr>
        <w:shd w:fill="EEF3F6" w:val="clear"/>
        <w:spacing w:after="100" w:before="40"/>
      </w:pPr>
      <w:r>
        <w:rPr>
          <w:b/>
          <w:bCs/>
          <w:color w:val="1F4E5F"/>
          <w:sz w:val="19"/>
          <w:szCs w:val="19"/>
        </w:rPr>
        <w:t xml:space="preserve">  502,205 boe/d  —  2,827 MMcf/d gas · 9,977 b/d condensate · 21,032 b/d oil  ·  94%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MMcf/d</w:t>
            </w:r>
          </w:p>
        </w:tc>
      </w:tr>
      <w:tr>
        <w:tc>
          <w:tcPr>
            <w:tcW w:type="dxa" w:w="5100"/>
            <w:tcMar>
              <w:top w:type="dxa" w:w="45"/>
              <w:left w:type="dxa" w:w="110"/>
              <w:bottom w:type="dxa" w:w="45"/>
              <w:right w:type="dxa" w:w="110"/>
            </w:tcMar>
          </w:tcPr>
          <w:p>
            <w:pPr>
              <w:jc w:val="left"/>
            </w:pPr>
            <w:r>
              <w:rPr>
                <w:sz w:val="17"/>
                <w:szCs w:val="17"/>
              </w:rPr>
              <w:t xml:space="preserve">Tourmaline</w:t>
            </w:r>
          </w:p>
        </w:tc>
        <w:tc>
          <w:tcPr>
            <w:tcW w:type="dxa" w:w="1900"/>
            <w:tcMar>
              <w:top w:type="dxa" w:w="45"/>
              <w:left w:type="dxa" w:w="110"/>
              <w:bottom w:type="dxa" w:w="45"/>
              <w:right w:type="dxa" w:w="110"/>
            </w:tcMar>
          </w:tcPr>
          <w:p>
            <w:pPr>
              <w:jc w:val="right"/>
            </w:pPr>
            <w:r>
              <w:rPr>
                <w:sz w:val="17"/>
                <w:szCs w:val="17"/>
              </w:rPr>
              <w:t xml:space="preserve">697</w:t>
            </w:r>
          </w:p>
        </w:tc>
      </w:tr>
      <w:tr>
        <w:tc>
          <w:tcPr>
            <w:tcW w:type="dxa" w:w="5100"/>
            <w:shd w:fill="F8FAFB" w:val="clear"/>
            <w:tcMar>
              <w:top w:type="dxa" w:w="45"/>
              <w:left w:type="dxa" w:w="110"/>
              <w:bottom w:type="dxa" w:w="45"/>
              <w:right w:type="dxa" w:w="110"/>
            </w:tcMar>
          </w:tcPr>
          <w:p>
            <w:pPr>
              <w:jc w:val="left"/>
            </w:pPr>
            <w:r>
              <w:rPr>
                <w:sz w:val="17"/>
                <w:szCs w:val="17"/>
              </w:rPr>
              <w:t xml:space="preserve">Peyto</w:t>
            </w:r>
          </w:p>
        </w:tc>
        <w:tc>
          <w:tcPr>
            <w:tcW w:type="dxa" w:w="1900"/>
            <w:shd w:fill="F8FAFB" w:val="clear"/>
            <w:tcMar>
              <w:top w:type="dxa" w:w="45"/>
              <w:left w:type="dxa" w:w="110"/>
              <w:bottom w:type="dxa" w:w="45"/>
              <w:right w:type="dxa" w:w="110"/>
            </w:tcMar>
          </w:tcPr>
          <w:p>
            <w:pPr>
              <w:jc w:val="right"/>
            </w:pPr>
            <w:r>
              <w:rPr>
                <w:sz w:val="17"/>
                <w:szCs w:val="17"/>
              </w:rPr>
              <w:t xml:space="preserve">539</w:t>
            </w:r>
          </w:p>
        </w:tc>
      </w:tr>
      <w:tr>
        <w:tc>
          <w:tcPr>
            <w:tcW w:type="dxa" w:w="5100"/>
            <w:tcMar>
              <w:top w:type="dxa" w:w="45"/>
              <w:left w:type="dxa" w:w="110"/>
              <w:bottom w:type="dxa" w:w="45"/>
              <w:right w:type="dxa" w:w="110"/>
            </w:tcMar>
          </w:tcPr>
          <w:p>
            <w:pPr>
              <w:jc w:val="left"/>
            </w:pPr>
            <w:r>
              <w:rPr>
                <w:sz w:val="17"/>
                <w:szCs w:val="17"/>
              </w:rPr>
              <w:t xml:space="preserve">Canadian Natural</w:t>
            </w:r>
          </w:p>
        </w:tc>
        <w:tc>
          <w:tcPr>
            <w:tcW w:type="dxa" w:w="1900"/>
            <w:tcMar>
              <w:top w:type="dxa" w:w="45"/>
              <w:left w:type="dxa" w:w="110"/>
              <w:bottom w:type="dxa" w:w="45"/>
              <w:right w:type="dxa" w:w="110"/>
            </w:tcMar>
          </w:tcPr>
          <w:p>
            <w:pPr>
              <w:jc w:val="right"/>
            </w:pPr>
            <w:r>
              <w:rPr>
                <w:sz w:val="17"/>
                <w:szCs w:val="17"/>
              </w:rPr>
              <w:t xml:space="preserve">459</w:t>
            </w:r>
          </w:p>
        </w:tc>
      </w:tr>
      <w:tr>
        <w:tc>
          <w:tcPr>
            <w:tcW w:type="dxa" w:w="5100"/>
            <w:shd w:fill="F8FAFB" w:val="clear"/>
            <w:tcMar>
              <w:top w:type="dxa" w:w="45"/>
              <w:left w:type="dxa" w:w="110"/>
              <w:bottom w:type="dxa" w:w="45"/>
              <w:right w:type="dxa" w:w="110"/>
            </w:tcMar>
          </w:tcPr>
          <w:p>
            <w:pPr>
              <w:jc w:val="left"/>
            </w:pPr>
            <w:r>
              <w:rPr>
                <w:sz w:val="17"/>
                <w:szCs w:val="17"/>
              </w:rPr>
              <w:t xml:space="preserve">Whitecap</w:t>
            </w:r>
          </w:p>
        </w:tc>
        <w:tc>
          <w:tcPr>
            <w:tcW w:type="dxa" w:w="1900"/>
            <w:shd w:fill="F8FAFB" w:val="clear"/>
            <w:tcMar>
              <w:top w:type="dxa" w:w="45"/>
              <w:left w:type="dxa" w:w="110"/>
              <w:bottom w:type="dxa" w:w="45"/>
              <w:right w:type="dxa" w:w="110"/>
            </w:tcMar>
          </w:tcPr>
          <w:p>
            <w:pPr>
              <w:jc w:val="right"/>
            </w:pPr>
            <w:r>
              <w:rPr>
                <w:sz w:val="17"/>
                <w:szCs w:val="17"/>
              </w:rPr>
              <w:t xml:space="preserve">261</w:t>
            </w:r>
          </w:p>
        </w:tc>
      </w:tr>
      <w:tr>
        <w:tc>
          <w:tcPr>
            <w:tcW w:type="dxa" w:w="5100"/>
            <w:tcMar>
              <w:top w:type="dxa" w:w="45"/>
              <w:left w:type="dxa" w:w="110"/>
              <w:bottom w:type="dxa" w:w="45"/>
              <w:right w:type="dxa" w:w="110"/>
            </w:tcMar>
          </w:tcPr>
          <w:p>
            <w:pPr>
              <w:jc w:val="left"/>
            </w:pPr>
            <w:r>
              <w:rPr>
                <w:sz w:val="17"/>
                <w:szCs w:val="17"/>
              </w:rPr>
              <w:t xml:space="preserve">Cenovus</w:t>
            </w:r>
          </w:p>
        </w:tc>
        <w:tc>
          <w:tcPr>
            <w:tcW w:type="dxa" w:w="1900"/>
            <w:tcMar>
              <w:top w:type="dxa" w:w="45"/>
              <w:left w:type="dxa" w:w="110"/>
              <w:bottom w:type="dxa" w:w="45"/>
              <w:right w:type="dxa" w:w="110"/>
            </w:tcMar>
          </w:tcPr>
          <w:p>
            <w:pPr>
              <w:jc w:val="right"/>
            </w:pPr>
            <w:r>
              <w:rPr>
                <w:sz w:val="17"/>
                <w:szCs w:val="17"/>
              </w:rPr>
              <w:t xml:space="preserve">154</w:t>
            </w:r>
          </w:p>
        </w:tc>
      </w:tr>
      <w:tr>
        <w:tc>
          <w:tcPr>
            <w:tcW w:type="dxa" w:w="5100"/>
            <w:shd w:fill="F8FAFB" w:val="clear"/>
            <w:tcMar>
              <w:top w:type="dxa" w:w="45"/>
              <w:left w:type="dxa" w:w="110"/>
              <w:bottom w:type="dxa" w:w="45"/>
              <w:right w:type="dxa" w:w="110"/>
            </w:tcMar>
          </w:tcPr>
          <w:p>
            <w:pPr>
              <w:jc w:val="left"/>
            </w:pPr>
            <w:r>
              <w:rPr>
                <w:sz w:val="17"/>
                <w:szCs w:val="17"/>
              </w:rPr>
              <w:t xml:space="preserve">Vermilion</w:t>
            </w:r>
          </w:p>
        </w:tc>
        <w:tc>
          <w:tcPr>
            <w:tcW w:type="dxa" w:w="1900"/>
            <w:shd w:fill="F8FAFB" w:val="clear"/>
            <w:tcMar>
              <w:top w:type="dxa" w:w="45"/>
              <w:left w:type="dxa" w:w="110"/>
              <w:bottom w:type="dxa" w:w="45"/>
              <w:right w:type="dxa" w:w="110"/>
            </w:tcMar>
          </w:tcPr>
          <w:p>
            <w:pPr>
              <w:jc w:val="right"/>
            </w:pPr>
            <w:r>
              <w:rPr>
                <w:sz w:val="17"/>
                <w:szCs w:val="17"/>
              </w:rPr>
              <w:t xml:space="preserve">147</w:t>
            </w:r>
          </w:p>
        </w:tc>
      </w:tr>
    </w:tbl>
    <w:p>
      <w:pPr>
        <w:spacing w:after="110"/>
      </w:pPr>
      <w:r>
        <w:rPr>
          <w:i w:val="false"/>
          <w:iCs w:val="false"/>
          <w:color w:val="6B7280"/>
          <w:sz w:val="19"/>
          <w:szCs w:val="19"/>
        </w:rPr>
        <w:t xml:space="preserve">The Duvernay — Kaybob, Fox Creek, Willesden Green — sits beneath this same area and cannot be separated geographically. Chevron, Ovintiv and CNRL are the Duvernay names.</w:t>
      </w:r>
    </w:p>
    <w:p>
      <w:pPr>
        <w:spacing w:after="110"/>
      </w:pPr>
      <w:r>
        <w:rPr>
          <w:b/>
          <w:bCs/>
          <w:sz w:val="19"/>
          <w:szCs w:val="19"/>
        </w:rPr>
        <w:t xml:space="preserve">The liquids — do not call this a dry play. </w:t>
      </w:r>
      <w:r>
        <w:rPr>
          <w:sz w:val="19"/>
          <w:szCs w:val="19"/>
        </w:rPr>
        <w:t xml:space="preserve">Well-level data shows 3.5 bbl/MMcf and invites the conclusion that the Deep Basin is dry. Plant data says otherwise: 116,590 b/d of C5+ is recovered at gas plants inside this box, against 9,977 b/d measured at wells — a twelvefold gap, and the largest reporting distortion in the province. On a recovered basis the area yields 41.2 bbl/MMcf, higher than the Montney.</w:t>
      </w:r>
    </w:p>
    <w:p>
      <w:pPr>
        <w:spacing w:after="110"/>
      </w:pPr>
      <w:r>
        <w:rPr>
          <w:i w:val="false"/>
          <w:iCs w:val="false"/>
          <w:color w:val="6B7280"/>
          <w:sz w:val="19"/>
          <w:szCs w:val="19"/>
        </w:rPr>
        <w:t xml:space="preserve">The reason is the Duvernay, which sits beneath this same ground and cannot be separated geographically. Pembina's Duvernay Condensate Stabilization facility alone recovers 26,057 b/d — the single largest C5+ source in Alberta. Kaybob, Fox Creek and Simonette are condensate centres, not dry gas country.</w:t>
      </w:r>
    </w:p>
    <w:p>
      <w:pPr>
        <w:spacing w:after="110"/>
      </w:pPr>
      <w:r>
        <w:rPr>
          <w:b/>
          <w:bCs/>
          <w:sz w:val="19"/>
          <w:szCs w:val="19"/>
        </w:rPr>
        <w:t xml:space="preserve">The distinction that matters. </w:t>
      </w:r>
      <w:r>
        <w:rPr>
          <w:sz w:val="19"/>
          <w:szCs w:val="19"/>
        </w:rPr>
        <w:t xml:space="preserve">Dry applies to the Spirit River tight gas, not to the box. Peyto is the cleanest expression of that — genuinely gas-weighted, almost no liquids cushion, and therefore the most direct AECO beta among the Canadian large caps, with the most torque in a gas rally. But Peyto is not the Deep Basin, and generalising from Peyto to the area gets the liquids story backwards.</w:t>
      </w:r>
    </w:p>
    <w:p>
      <w:pPr>
        <w:pStyle w:val="Heading2"/>
        <w:spacing w:after="70" w:before="240"/>
      </w:pPr>
      <w:r>
        <w:rPr>
          <w:b/>
          <w:bCs/>
          <w:color w:val="1F4E5F"/>
          <w:sz w:val="23"/>
          <w:szCs w:val="23"/>
        </w:rPr>
        <w:t xml:space="preserve">Cardium and central foothills</w:t>
      </w:r>
    </w:p>
    <w:p>
      <w:pPr>
        <w:spacing w:after="110"/>
      </w:pPr>
      <w:r>
        <w:rPr>
          <w:i w:val="false"/>
          <w:iCs w:val="false"/>
          <w:sz w:val="19"/>
          <w:szCs w:val="19"/>
        </w:rPr>
        <w:t xml:space="preserve">Pembina and Willesden Green. Mature, heavily drilled light oil with associated gas. The box also picks up shallower gas, so treat the gas figure as the area rather than the Cardium formation.</w:t>
      </w:r>
    </w:p>
    <w:p>
      <w:pPr>
        <w:shd w:fill="EEF3F6" w:val="clear"/>
        <w:spacing w:after="100" w:before="40"/>
      </w:pPr>
      <w:r>
        <w:rPr>
          <w:b/>
          <w:bCs/>
          <w:color w:val="1F4E5F"/>
          <w:sz w:val="19"/>
          <w:szCs w:val="19"/>
        </w:rPr>
        <w:t xml:space="preserve">  318,603 boe/d  —  1,539 MMcf/d gas · 60,601 b/d oil · 1,465 b/d condensate  ·  81%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MMcf/d</w:t>
            </w:r>
          </w:p>
        </w:tc>
      </w:tr>
      <w:tr>
        <w:tc>
          <w:tcPr>
            <w:tcW w:type="dxa" w:w="5100"/>
            <w:tcMar>
              <w:top w:type="dxa" w:w="45"/>
              <w:left w:type="dxa" w:w="110"/>
              <w:bottom w:type="dxa" w:w="45"/>
              <w:right w:type="dxa" w:w="110"/>
            </w:tcMar>
          </w:tcPr>
          <w:p>
            <w:pPr>
              <w:jc w:val="left"/>
            </w:pPr>
            <w:r>
              <w:rPr>
                <w:sz w:val="17"/>
                <w:szCs w:val="17"/>
              </w:rPr>
              <w:t xml:space="preserve">TAQA North</w:t>
            </w:r>
          </w:p>
        </w:tc>
        <w:tc>
          <w:tcPr>
            <w:tcW w:type="dxa" w:w="1900"/>
            <w:tcMar>
              <w:top w:type="dxa" w:w="45"/>
              <w:left w:type="dxa" w:w="110"/>
              <w:bottom w:type="dxa" w:w="45"/>
              <w:right w:type="dxa" w:w="110"/>
            </w:tcMar>
          </w:tcPr>
          <w:p>
            <w:pPr>
              <w:jc w:val="right"/>
            </w:pPr>
            <w:r>
              <w:rPr>
                <w:sz w:val="17"/>
                <w:szCs w:val="17"/>
              </w:rPr>
              <w:t xml:space="preserve">224</w:t>
            </w:r>
          </w:p>
        </w:tc>
      </w:tr>
      <w:tr>
        <w:tc>
          <w:tcPr>
            <w:tcW w:type="dxa" w:w="5100"/>
            <w:shd w:fill="F8FAFB" w:val="clear"/>
            <w:tcMar>
              <w:top w:type="dxa" w:w="45"/>
              <w:left w:type="dxa" w:w="110"/>
              <w:bottom w:type="dxa" w:w="45"/>
              <w:right w:type="dxa" w:w="110"/>
            </w:tcMar>
          </w:tcPr>
          <w:p>
            <w:pPr>
              <w:jc w:val="left"/>
            </w:pPr>
            <w:r>
              <w:rPr>
                <w:sz w:val="17"/>
                <w:szCs w:val="17"/>
              </w:rPr>
              <w:t xml:space="preserve">Spartan Delta</w:t>
            </w:r>
          </w:p>
        </w:tc>
        <w:tc>
          <w:tcPr>
            <w:tcW w:type="dxa" w:w="1900"/>
            <w:shd w:fill="F8FAFB" w:val="clear"/>
            <w:tcMar>
              <w:top w:type="dxa" w:w="45"/>
              <w:left w:type="dxa" w:w="110"/>
              <w:bottom w:type="dxa" w:w="45"/>
              <w:right w:type="dxa" w:w="110"/>
            </w:tcMar>
          </w:tcPr>
          <w:p>
            <w:pPr>
              <w:jc w:val="right"/>
            </w:pPr>
            <w:r>
              <w:rPr>
                <w:sz w:val="17"/>
                <w:szCs w:val="17"/>
              </w:rPr>
              <w:t xml:space="preserve">186</w:t>
            </w:r>
          </w:p>
        </w:tc>
      </w:tr>
      <w:tr>
        <w:tc>
          <w:tcPr>
            <w:tcW w:type="dxa" w:w="5100"/>
            <w:tcMar>
              <w:top w:type="dxa" w:w="45"/>
              <w:left w:type="dxa" w:w="110"/>
              <w:bottom w:type="dxa" w:w="45"/>
              <w:right w:type="dxa" w:w="110"/>
            </w:tcMar>
          </w:tcPr>
          <w:p>
            <w:pPr>
              <w:jc w:val="left"/>
            </w:pPr>
            <w:r>
              <w:rPr>
                <w:sz w:val="17"/>
                <w:szCs w:val="17"/>
              </w:rPr>
              <w:t xml:space="preserve">Tourmaline</w:t>
            </w:r>
          </w:p>
        </w:tc>
        <w:tc>
          <w:tcPr>
            <w:tcW w:type="dxa" w:w="1900"/>
            <w:tcMar>
              <w:top w:type="dxa" w:w="45"/>
              <w:left w:type="dxa" w:w="110"/>
              <w:bottom w:type="dxa" w:w="45"/>
              <w:right w:type="dxa" w:w="110"/>
            </w:tcMar>
          </w:tcPr>
          <w:p>
            <w:pPr>
              <w:jc w:val="right"/>
            </w:pPr>
            <w:r>
              <w:rPr>
                <w:sz w:val="17"/>
                <w:szCs w:val="17"/>
              </w:rPr>
              <w:t xml:space="preserve">154</w:t>
            </w:r>
          </w:p>
        </w:tc>
      </w:tr>
      <w:tr>
        <w:tc>
          <w:tcPr>
            <w:tcW w:type="dxa" w:w="5100"/>
            <w:shd w:fill="F8FAFB" w:val="clear"/>
            <w:tcMar>
              <w:top w:type="dxa" w:w="45"/>
              <w:left w:type="dxa" w:w="110"/>
              <w:bottom w:type="dxa" w:w="45"/>
              <w:right w:type="dxa" w:w="110"/>
            </w:tcMar>
          </w:tcPr>
          <w:p>
            <w:pPr>
              <w:jc w:val="left"/>
            </w:pPr>
            <w:r>
              <w:rPr>
                <w:sz w:val="17"/>
                <w:szCs w:val="17"/>
              </w:rPr>
              <w:t xml:space="preserve">Vermilion</w:t>
            </w:r>
          </w:p>
        </w:tc>
        <w:tc>
          <w:tcPr>
            <w:tcW w:type="dxa" w:w="1900"/>
            <w:shd w:fill="F8FAFB" w:val="clear"/>
            <w:tcMar>
              <w:top w:type="dxa" w:w="45"/>
              <w:left w:type="dxa" w:w="110"/>
              <w:bottom w:type="dxa" w:w="45"/>
              <w:right w:type="dxa" w:w="110"/>
            </w:tcMar>
          </w:tcPr>
          <w:p>
            <w:pPr>
              <w:jc w:val="right"/>
            </w:pPr>
            <w:r>
              <w:rPr>
                <w:sz w:val="17"/>
                <w:szCs w:val="17"/>
              </w:rPr>
              <w:t xml:space="preserve">142</w:t>
            </w:r>
          </w:p>
        </w:tc>
      </w:tr>
      <w:tr>
        <w:tc>
          <w:tcPr>
            <w:tcW w:type="dxa" w:w="5100"/>
            <w:tcMar>
              <w:top w:type="dxa" w:w="45"/>
              <w:left w:type="dxa" w:w="110"/>
              <w:bottom w:type="dxa" w:w="45"/>
              <w:right w:type="dxa" w:w="110"/>
            </w:tcMar>
          </w:tcPr>
          <w:p>
            <w:pPr>
              <w:jc w:val="left"/>
            </w:pPr>
            <w:r>
              <w:rPr>
                <w:sz w:val="17"/>
                <w:szCs w:val="17"/>
              </w:rPr>
              <w:t xml:space="preserve">Peyto</w:t>
            </w:r>
          </w:p>
        </w:tc>
        <w:tc>
          <w:tcPr>
            <w:tcW w:type="dxa" w:w="1900"/>
            <w:tcMar>
              <w:top w:type="dxa" w:w="45"/>
              <w:left w:type="dxa" w:w="110"/>
              <w:bottom w:type="dxa" w:w="45"/>
              <w:right w:type="dxa" w:w="110"/>
            </w:tcMar>
          </w:tcPr>
          <w:p>
            <w:pPr>
              <w:jc w:val="right"/>
            </w:pPr>
            <w:r>
              <w:rPr>
                <w:sz w:val="17"/>
                <w:szCs w:val="17"/>
              </w:rPr>
              <w:t xml:space="preserve">103</w:t>
            </w:r>
          </w:p>
        </w:tc>
      </w:tr>
      <w:tr>
        <w:tc>
          <w:tcPr>
            <w:tcW w:type="dxa" w:w="5100"/>
            <w:shd w:fill="F8FAFB" w:val="clear"/>
            <w:tcMar>
              <w:top w:type="dxa" w:w="45"/>
              <w:left w:type="dxa" w:w="110"/>
              <w:bottom w:type="dxa" w:w="45"/>
              <w:right w:type="dxa" w:w="110"/>
            </w:tcMar>
          </w:tcPr>
          <w:p>
            <w:pPr>
              <w:jc w:val="left"/>
            </w:pPr>
            <w:r>
              <w:rPr>
                <w:sz w:val="17"/>
                <w:szCs w:val="17"/>
              </w:rPr>
              <w:t xml:space="preserve">Cenovus</w:t>
            </w:r>
          </w:p>
        </w:tc>
        <w:tc>
          <w:tcPr>
            <w:tcW w:type="dxa" w:w="1900"/>
            <w:shd w:fill="F8FAFB" w:val="clear"/>
            <w:tcMar>
              <w:top w:type="dxa" w:w="45"/>
              <w:left w:type="dxa" w:w="110"/>
              <w:bottom w:type="dxa" w:w="45"/>
              <w:right w:type="dxa" w:w="110"/>
            </w:tcMar>
          </w:tcPr>
          <w:p>
            <w:pPr>
              <w:jc w:val="right"/>
            </w:pPr>
            <w:r>
              <w:rPr>
                <w:sz w:val="17"/>
                <w:szCs w:val="17"/>
              </w:rPr>
              <w:t xml:space="preserve">85</w:t>
            </w:r>
          </w:p>
        </w:tc>
      </w:tr>
    </w:tbl>
    <w:p>
      <w:pPr>
        <w:spacing w:after="110"/>
      </w:pPr>
      <w:r>
        <w:rPr>
          <w:b/>
          <w:bCs/>
          <w:sz w:val="19"/>
          <w:szCs w:val="19"/>
        </w:rPr>
        <w:t xml:space="preserve">The liquids. </w:t>
      </w:r>
      <w:r>
        <w:rPr>
          <w:sz w:val="19"/>
          <w:szCs w:val="19"/>
        </w:rPr>
        <w:t xml:space="preserve">Calling this a gas play is an artifact of the box. Condensate yield is 1.0 bbl/MMcf — effectively nil — but the area produces 60,601 b/d of light crude, and liquids are 20% of boe. The Cardium is an oil play with associated gas, and the gas leaders above are simply operators whose acreage happens to fall inside the same rectangle.</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b/d crude</w:t>
            </w:r>
          </w:p>
        </w:tc>
      </w:tr>
      <w:tr>
        <w:tc>
          <w:tcPr>
            <w:tcW w:type="dxa" w:w="5100"/>
            <w:tcMar>
              <w:top w:type="dxa" w:w="45"/>
              <w:left w:type="dxa" w:w="110"/>
              <w:bottom w:type="dxa" w:w="45"/>
              <w:right w:type="dxa" w:w="110"/>
            </w:tcMar>
          </w:tcPr>
          <w:p>
            <w:pPr>
              <w:jc w:val="left"/>
            </w:pPr>
            <w:r>
              <w:rPr>
                <w:sz w:val="17"/>
                <w:szCs w:val="17"/>
              </w:rPr>
              <w:t xml:space="preserve">InPlay Oil</w:t>
            </w:r>
          </w:p>
        </w:tc>
        <w:tc>
          <w:tcPr>
            <w:tcW w:type="dxa" w:w="1900"/>
            <w:tcMar>
              <w:top w:type="dxa" w:w="45"/>
              <w:left w:type="dxa" w:w="110"/>
              <w:bottom w:type="dxa" w:w="45"/>
              <w:right w:type="dxa" w:w="110"/>
            </w:tcMar>
          </w:tcPr>
          <w:p>
            <w:pPr>
              <w:jc w:val="right"/>
            </w:pPr>
            <w:r>
              <w:rPr>
                <w:sz w:val="17"/>
                <w:szCs w:val="17"/>
              </w:rPr>
              <w:t xml:space="preserve">8,903</w:t>
            </w:r>
          </w:p>
        </w:tc>
      </w:tr>
      <w:tr>
        <w:tc>
          <w:tcPr>
            <w:tcW w:type="dxa" w:w="5100"/>
            <w:shd w:fill="F8FAFB" w:val="clear"/>
            <w:tcMar>
              <w:top w:type="dxa" w:w="45"/>
              <w:left w:type="dxa" w:w="110"/>
              <w:bottom w:type="dxa" w:w="45"/>
              <w:right w:type="dxa" w:w="110"/>
            </w:tcMar>
          </w:tcPr>
          <w:p>
            <w:pPr>
              <w:jc w:val="left"/>
            </w:pPr>
            <w:r>
              <w:rPr>
                <w:sz w:val="17"/>
                <w:szCs w:val="17"/>
              </w:rPr>
              <w:t xml:space="preserve">Ricochet Oil</w:t>
            </w:r>
          </w:p>
        </w:tc>
        <w:tc>
          <w:tcPr>
            <w:tcW w:type="dxa" w:w="1900"/>
            <w:shd w:fill="F8FAFB" w:val="clear"/>
            <w:tcMar>
              <w:top w:type="dxa" w:w="45"/>
              <w:left w:type="dxa" w:w="110"/>
              <w:bottom w:type="dxa" w:w="45"/>
              <w:right w:type="dxa" w:w="110"/>
            </w:tcMar>
          </w:tcPr>
          <w:p>
            <w:pPr>
              <w:jc w:val="right"/>
            </w:pPr>
            <w:r>
              <w:rPr>
                <w:sz w:val="17"/>
                <w:szCs w:val="17"/>
              </w:rPr>
              <w:t xml:space="preserve">8,403</w:t>
            </w:r>
          </w:p>
        </w:tc>
      </w:tr>
      <w:tr>
        <w:tc>
          <w:tcPr>
            <w:tcW w:type="dxa" w:w="5100"/>
            <w:tcMar>
              <w:top w:type="dxa" w:w="45"/>
              <w:left w:type="dxa" w:w="110"/>
              <w:bottom w:type="dxa" w:w="45"/>
              <w:right w:type="dxa" w:w="110"/>
            </w:tcMar>
          </w:tcPr>
          <w:p>
            <w:pPr>
              <w:jc w:val="left"/>
            </w:pPr>
            <w:r>
              <w:rPr>
                <w:sz w:val="17"/>
                <w:szCs w:val="17"/>
              </w:rPr>
              <w:t xml:space="preserve">Whitecap Resources</w:t>
            </w:r>
          </w:p>
        </w:tc>
        <w:tc>
          <w:tcPr>
            <w:tcW w:type="dxa" w:w="1900"/>
            <w:tcMar>
              <w:top w:type="dxa" w:w="45"/>
              <w:left w:type="dxa" w:w="110"/>
              <w:bottom w:type="dxa" w:w="45"/>
              <w:right w:type="dxa" w:w="110"/>
            </w:tcMar>
          </w:tcPr>
          <w:p>
            <w:pPr>
              <w:jc w:val="right"/>
            </w:pPr>
            <w:r>
              <w:rPr>
                <w:sz w:val="17"/>
                <w:szCs w:val="17"/>
              </w:rPr>
              <w:t xml:space="preserve">6,896</w:t>
            </w:r>
          </w:p>
        </w:tc>
      </w:tr>
      <w:tr>
        <w:tc>
          <w:tcPr>
            <w:tcW w:type="dxa" w:w="5100"/>
            <w:shd w:fill="F8FAFB" w:val="clear"/>
            <w:tcMar>
              <w:top w:type="dxa" w:w="45"/>
              <w:left w:type="dxa" w:w="110"/>
              <w:bottom w:type="dxa" w:w="45"/>
              <w:right w:type="dxa" w:w="110"/>
            </w:tcMar>
          </w:tcPr>
          <w:p>
            <w:pPr>
              <w:jc w:val="left"/>
            </w:pPr>
            <w:r>
              <w:rPr>
                <w:sz w:val="17"/>
                <w:szCs w:val="17"/>
              </w:rPr>
              <w:t xml:space="preserve">Bonterra</w:t>
            </w:r>
          </w:p>
        </w:tc>
        <w:tc>
          <w:tcPr>
            <w:tcW w:type="dxa" w:w="1900"/>
            <w:shd w:fill="F8FAFB" w:val="clear"/>
            <w:tcMar>
              <w:top w:type="dxa" w:w="45"/>
              <w:left w:type="dxa" w:w="110"/>
              <w:bottom w:type="dxa" w:w="45"/>
              <w:right w:type="dxa" w:w="110"/>
            </w:tcMar>
          </w:tcPr>
          <w:p>
            <w:pPr>
              <w:jc w:val="right"/>
            </w:pPr>
            <w:r>
              <w:rPr>
                <w:sz w:val="17"/>
                <w:szCs w:val="17"/>
              </w:rPr>
              <w:t xml:space="preserve">4,147</w:t>
            </w:r>
          </w:p>
        </w:tc>
      </w:tr>
      <w:tr>
        <w:tc>
          <w:tcPr>
            <w:tcW w:type="dxa" w:w="5100"/>
            <w:tcMar>
              <w:top w:type="dxa" w:w="45"/>
              <w:left w:type="dxa" w:w="110"/>
              <w:bottom w:type="dxa" w:w="45"/>
              <w:right w:type="dxa" w:w="110"/>
            </w:tcMar>
          </w:tcPr>
          <w:p>
            <w:pPr>
              <w:jc w:val="left"/>
            </w:pPr>
            <w:r>
              <w:rPr>
                <w:sz w:val="17"/>
                <w:szCs w:val="17"/>
              </w:rPr>
              <w:t xml:space="preserve">Spartan Delta</w:t>
            </w:r>
          </w:p>
        </w:tc>
        <w:tc>
          <w:tcPr>
            <w:tcW w:type="dxa" w:w="1900"/>
            <w:tcMar>
              <w:top w:type="dxa" w:w="45"/>
              <w:left w:type="dxa" w:w="110"/>
              <w:bottom w:type="dxa" w:w="45"/>
              <w:right w:type="dxa" w:w="110"/>
            </w:tcMar>
          </w:tcPr>
          <w:p>
            <w:pPr>
              <w:jc w:val="right"/>
            </w:pPr>
            <w:r>
              <w:rPr>
                <w:sz w:val="17"/>
                <w:szCs w:val="17"/>
              </w:rPr>
              <w:t xml:space="preserve">3,822</w:t>
            </w:r>
          </w:p>
        </w:tc>
      </w:tr>
      <w:tr>
        <w:tc>
          <w:tcPr>
            <w:tcW w:type="dxa" w:w="5100"/>
            <w:shd w:fill="F8FAFB" w:val="clear"/>
            <w:tcMar>
              <w:top w:type="dxa" w:w="45"/>
              <w:left w:type="dxa" w:w="110"/>
              <w:bottom w:type="dxa" w:w="45"/>
              <w:right w:type="dxa" w:w="110"/>
            </w:tcMar>
          </w:tcPr>
          <w:p>
            <w:pPr>
              <w:jc w:val="left"/>
            </w:pPr>
            <w:r>
              <w:rPr>
                <w:sz w:val="17"/>
                <w:szCs w:val="17"/>
              </w:rPr>
              <w:t xml:space="preserve">Obsidian</w:t>
            </w:r>
          </w:p>
        </w:tc>
        <w:tc>
          <w:tcPr>
            <w:tcW w:type="dxa" w:w="1900"/>
            <w:shd w:fill="F8FAFB" w:val="clear"/>
            <w:tcMar>
              <w:top w:type="dxa" w:w="45"/>
              <w:left w:type="dxa" w:w="110"/>
              <w:bottom w:type="dxa" w:w="45"/>
              <w:right w:type="dxa" w:w="110"/>
            </w:tcMar>
          </w:tcPr>
          <w:p>
            <w:pPr>
              <w:jc w:val="right"/>
            </w:pPr>
            <w:r>
              <w:rPr>
                <w:sz w:val="17"/>
                <w:szCs w:val="17"/>
              </w:rPr>
              <w:t xml:space="preserve">3,583</w:t>
            </w:r>
          </w:p>
        </w:tc>
      </w:tr>
    </w:tbl>
    <w:p>
      <w:pPr>
        <w:spacing w:after="110"/>
      </w:pPr>
      <w:r>
        <w:rPr>
          <w:i w:val="false"/>
          <w:iCs w:val="false"/>
          <w:color w:val="6B7280"/>
          <w:sz w:val="19"/>
          <w:szCs w:val="19"/>
        </w:rPr>
        <w:t xml:space="preserve">A further 29,506 b/d of C5+ is recovered at plants inside this box, against 1,465 b/d measured at wells — the foothills gas is wetter than the well records suggest.</w:t>
      </w:r>
    </w:p>
    <w:p>
      <w:pPr>
        <w:spacing w:after="110"/>
      </w:pPr>
      <w:r>
        <w:rPr>
          <w:i w:val="false"/>
          <w:iCs w:val="false"/>
          <w:color w:val="6B7280"/>
          <w:sz w:val="19"/>
          <w:szCs w:val="19"/>
        </w:rPr>
        <w:t xml:space="preserve">Also Cardinal, Aspenleaf, Yangarra and Baytex. This is the most fragmented operator set in the province — a mature waterflooded play with decades of drilling behind it and no dominant owner.</w:t>
      </w:r>
    </w:p>
    <w:p>
      <w:pPr>
        <w:pStyle w:val="Heading2"/>
        <w:spacing w:after="70" w:before="240"/>
      </w:pPr>
      <w:r>
        <w:rPr>
          <w:b/>
          <w:bCs/>
          <w:color w:val="1F4E5F"/>
          <w:sz w:val="23"/>
          <w:szCs w:val="23"/>
        </w:rPr>
        <w:t xml:space="preserve">Mannville CBM and shallow gas — central Alberta</w:t>
      </w:r>
    </w:p>
    <w:p>
      <w:pPr>
        <w:spacing w:after="110"/>
      </w:pPr>
      <w:r>
        <w:rPr>
          <w:i w:val="false"/>
          <w:iCs w:val="false"/>
          <w:sz w:val="19"/>
          <w:szCs w:val="19"/>
        </w:rPr>
        <w:t xml:space="preserve">Very low rate per well, enormous well count, minimal decline. This is the long tail in the data: 84% of Alberta wells produce under 0.1 MMcf/d. Ember is the pure play and takes 0% of its production from new wells — pure harvest mode, no drilling.</w:t>
      </w:r>
    </w:p>
    <w:p>
      <w:pPr>
        <w:shd w:fill="EEF3F6" w:val="clear"/>
        <w:spacing w:after="100" w:before="40"/>
      </w:pPr>
      <w:r>
        <w:rPr>
          <w:b/>
          <w:bCs/>
          <w:color w:val="1F4E5F"/>
          <w:sz w:val="19"/>
          <w:szCs w:val="19"/>
        </w:rPr>
        <w:t xml:space="preserve">  235,506 boe/d  —  957 MMcf/d gas · 73,240 b/d oil · 2,841 b/d condensate  ·  68%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MMcf/d</w:t>
            </w:r>
          </w:p>
        </w:tc>
      </w:tr>
      <w:tr>
        <w:tc>
          <w:tcPr>
            <w:tcW w:type="dxa" w:w="5100"/>
            <w:tcMar>
              <w:top w:type="dxa" w:w="45"/>
              <w:left w:type="dxa" w:w="110"/>
              <w:bottom w:type="dxa" w:w="45"/>
              <w:right w:type="dxa" w:w="110"/>
            </w:tcMar>
          </w:tcPr>
          <w:p>
            <w:pPr>
              <w:jc w:val="left"/>
            </w:pPr>
            <w:r>
              <w:rPr>
                <w:sz w:val="17"/>
                <w:szCs w:val="17"/>
              </w:rPr>
              <w:t xml:space="preserve">Ember Resources</w:t>
            </w:r>
          </w:p>
        </w:tc>
        <w:tc>
          <w:tcPr>
            <w:tcW w:type="dxa" w:w="1900"/>
            <w:tcMar>
              <w:top w:type="dxa" w:w="45"/>
              <w:left w:type="dxa" w:w="110"/>
              <w:bottom w:type="dxa" w:w="45"/>
              <w:right w:type="dxa" w:w="110"/>
            </w:tcMar>
          </w:tcPr>
          <w:p>
            <w:pPr>
              <w:jc w:val="right"/>
            </w:pPr>
            <w:r>
              <w:rPr>
                <w:sz w:val="17"/>
                <w:szCs w:val="17"/>
              </w:rPr>
              <w:t xml:space="preserve">182</w:t>
            </w:r>
          </w:p>
        </w:tc>
      </w:tr>
      <w:tr>
        <w:tc>
          <w:tcPr>
            <w:tcW w:type="dxa" w:w="5100"/>
            <w:shd w:fill="F8FAFB" w:val="clear"/>
            <w:tcMar>
              <w:top w:type="dxa" w:w="45"/>
              <w:left w:type="dxa" w:w="110"/>
              <w:bottom w:type="dxa" w:w="45"/>
              <w:right w:type="dxa" w:w="110"/>
            </w:tcMar>
          </w:tcPr>
          <w:p>
            <w:pPr>
              <w:jc w:val="left"/>
            </w:pPr>
            <w:r>
              <w:rPr>
                <w:sz w:val="17"/>
                <w:szCs w:val="17"/>
              </w:rPr>
              <w:t xml:space="preserve">Whitecap</w:t>
            </w:r>
          </w:p>
        </w:tc>
        <w:tc>
          <w:tcPr>
            <w:tcW w:type="dxa" w:w="1900"/>
            <w:shd w:fill="F8FAFB" w:val="clear"/>
            <w:tcMar>
              <w:top w:type="dxa" w:w="45"/>
              <w:left w:type="dxa" w:w="110"/>
              <w:bottom w:type="dxa" w:w="45"/>
              <w:right w:type="dxa" w:w="110"/>
            </w:tcMar>
          </w:tcPr>
          <w:p>
            <w:pPr>
              <w:jc w:val="right"/>
            </w:pPr>
            <w:r>
              <w:rPr>
                <w:sz w:val="17"/>
                <w:szCs w:val="17"/>
              </w:rPr>
              <w:t xml:space="preserve">146</w:t>
            </w:r>
          </w:p>
        </w:tc>
      </w:tr>
      <w:tr>
        <w:tc>
          <w:tcPr>
            <w:tcW w:type="dxa" w:w="5100"/>
            <w:tcMar>
              <w:top w:type="dxa" w:w="45"/>
              <w:left w:type="dxa" w:w="110"/>
              <w:bottom w:type="dxa" w:w="45"/>
              <w:right w:type="dxa" w:w="110"/>
            </w:tcMar>
          </w:tcPr>
          <w:p>
            <w:pPr>
              <w:jc w:val="left"/>
            </w:pPr>
            <w:r>
              <w:rPr>
                <w:sz w:val="17"/>
                <w:szCs w:val="17"/>
              </w:rPr>
              <w:t xml:space="preserve">Canadian Natural</w:t>
            </w:r>
          </w:p>
        </w:tc>
        <w:tc>
          <w:tcPr>
            <w:tcW w:type="dxa" w:w="1900"/>
            <w:tcMar>
              <w:top w:type="dxa" w:w="45"/>
              <w:left w:type="dxa" w:w="110"/>
              <w:bottom w:type="dxa" w:w="45"/>
              <w:right w:type="dxa" w:w="110"/>
            </w:tcMar>
          </w:tcPr>
          <w:p>
            <w:pPr>
              <w:jc w:val="right"/>
            </w:pPr>
            <w:r>
              <w:rPr>
                <w:sz w:val="17"/>
                <w:szCs w:val="17"/>
              </w:rPr>
              <w:t xml:space="preserve">136</w:t>
            </w:r>
          </w:p>
        </w:tc>
      </w:tr>
      <w:tr>
        <w:tc>
          <w:tcPr>
            <w:tcW w:type="dxa" w:w="5100"/>
            <w:shd w:fill="F8FAFB" w:val="clear"/>
            <w:tcMar>
              <w:top w:type="dxa" w:w="45"/>
              <w:left w:type="dxa" w:w="110"/>
              <w:bottom w:type="dxa" w:w="45"/>
              <w:right w:type="dxa" w:w="110"/>
            </w:tcMar>
          </w:tcPr>
          <w:p>
            <w:pPr>
              <w:jc w:val="left"/>
            </w:pPr>
            <w:r>
              <w:rPr>
                <w:sz w:val="17"/>
                <w:szCs w:val="17"/>
              </w:rPr>
              <w:t xml:space="preserve">Lynx Energy</w:t>
            </w:r>
          </w:p>
        </w:tc>
        <w:tc>
          <w:tcPr>
            <w:tcW w:type="dxa" w:w="1900"/>
            <w:shd w:fill="F8FAFB" w:val="clear"/>
            <w:tcMar>
              <w:top w:type="dxa" w:w="45"/>
              <w:left w:type="dxa" w:w="110"/>
              <w:bottom w:type="dxa" w:w="45"/>
              <w:right w:type="dxa" w:w="110"/>
            </w:tcMar>
          </w:tcPr>
          <w:p>
            <w:pPr>
              <w:jc w:val="right"/>
            </w:pPr>
            <w:r>
              <w:rPr>
                <w:sz w:val="17"/>
                <w:szCs w:val="17"/>
              </w:rPr>
              <w:t xml:space="preserve">72</w:t>
            </w:r>
          </w:p>
        </w:tc>
      </w:tr>
      <w:tr>
        <w:tc>
          <w:tcPr>
            <w:tcW w:type="dxa" w:w="5100"/>
            <w:tcMar>
              <w:top w:type="dxa" w:w="45"/>
              <w:left w:type="dxa" w:w="110"/>
              <w:bottom w:type="dxa" w:w="45"/>
              <w:right w:type="dxa" w:w="110"/>
            </w:tcMar>
          </w:tcPr>
          <w:p>
            <w:pPr>
              <w:jc w:val="left"/>
            </w:pPr>
            <w:r>
              <w:rPr>
                <w:sz w:val="17"/>
                <w:szCs w:val="17"/>
              </w:rPr>
              <w:t xml:space="preserve">Pine Cliff</w:t>
            </w:r>
          </w:p>
        </w:tc>
        <w:tc>
          <w:tcPr>
            <w:tcW w:type="dxa" w:w="1900"/>
            <w:tcMar>
              <w:top w:type="dxa" w:w="45"/>
              <w:left w:type="dxa" w:w="110"/>
              <w:bottom w:type="dxa" w:w="45"/>
              <w:right w:type="dxa" w:w="110"/>
            </w:tcMar>
          </w:tcPr>
          <w:p>
            <w:pPr>
              <w:jc w:val="right"/>
            </w:pPr>
            <w:r>
              <w:rPr>
                <w:sz w:val="17"/>
                <w:szCs w:val="17"/>
              </w:rPr>
              <w:t xml:space="preserve">51</w:t>
            </w:r>
          </w:p>
        </w:tc>
      </w:tr>
      <w:tr>
        <w:tc>
          <w:tcPr>
            <w:tcW w:type="dxa" w:w="5100"/>
            <w:shd w:fill="F8FAFB" w:val="clear"/>
            <w:tcMar>
              <w:top w:type="dxa" w:w="45"/>
              <w:left w:type="dxa" w:w="110"/>
              <w:bottom w:type="dxa" w:w="45"/>
              <w:right w:type="dxa" w:w="110"/>
            </w:tcMar>
          </w:tcPr>
          <w:p>
            <w:pPr>
              <w:jc w:val="left"/>
            </w:pPr>
            <w:r>
              <w:rPr>
                <w:sz w:val="17"/>
                <w:szCs w:val="17"/>
              </w:rPr>
              <w:t xml:space="preserve">Tourmaline</w:t>
            </w:r>
          </w:p>
        </w:tc>
        <w:tc>
          <w:tcPr>
            <w:tcW w:type="dxa" w:w="1900"/>
            <w:shd w:fill="F8FAFB" w:val="clear"/>
            <w:tcMar>
              <w:top w:type="dxa" w:w="45"/>
              <w:left w:type="dxa" w:w="110"/>
              <w:bottom w:type="dxa" w:w="45"/>
              <w:right w:type="dxa" w:w="110"/>
            </w:tcMar>
          </w:tcPr>
          <w:p>
            <w:pPr>
              <w:jc w:val="right"/>
            </w:pPr>
            <w:r>
              <w:rPr>
                <w:sz w:val="17"/>
                <w:szCs w:val="17"/>
              </w:rPr>
              <w:t xml:space="preserve">36</w:t>
            </w:r>
          </w:p>
        </w:tc>
      </w:tr>
    </w:tbl>
    <w:p>
      <w:pPr>
        <w:spacing w:after="110"/>
      </w:pPr>
      <w:r>
        <w:rPr>
          <w:b/>
          <w:bCs/>
          <w:sz w:val="19"/>
          <w:szCs w:val="19"/>
        </w:rPr>
        <w:t xml:space="preserve">The liquids. </w:t>
      </w:r>
      <w:r>
        <w:rPr>
          <w:sz w:val="19"/>
          <w:szCs w:val="19"/>
        </w:rPr>
        <w:t xml:space="preserve">Liquids are 32% of boe here, which is not what the CBM label suggests. Coalbed methane itself is bone dry — adsorbed gas on coal, no associated liquids at all. The 73,240 b/d of crude comes from Mannville and Glauconite sand pools in the same area, produced by a completely different operator set from the CBM harvesters.</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b/d crude</w:t>
            </w:r>
          </w:p>
        </w:tc>
      </w:tr>
      <w:tr>
        <w:tc>
          <w:tcPr>
            <w:tcW w:type="dxa" w:w="5100"/>
            <w:tcMar>
              <w:top w:type="dxa" w:w="45"/>
              <w:left w:type="dxa" w:w="110"/>
              <w:bottom w:type="dxa" w:w="45"/>
              <w:right w:type="dxa" w:w="110"/>
            </w:tcMar>
          </w:tcPr>
          <w:p>
            <w:pPr>
              <w:jc w:val="left"/>
            </w:pPr>
            <w:r>
              <w:rPr>
                <w:sz w:val="17"/>
                <w:szCs w:val="17"/>
              </w:rPr>
              <w:t xml:space="preserve">Parallax Energy</w:t>
            </w:r>
          </w:p>
        </w:tc>
        <w:tc>
          <w:tcPr>
            <w:tcW w:type="dxa" w:w="1900"/>
            <w:tcMar>
              <w:top w:type="dxa" w:w="45"/>
              <w:left w:type="dxa" w:w="110"/>
              <w:bottom w:type="dxa" w:w="45"/>
              <w:right w:type="dxa" w:w="110"/>
            </w:tcMar>
          </w:tcPr>
          <w:p>
            <w:pPr>
              <w:jc w:val="right"/>
            </w:pPr>
            <w:r>
              <w:rPr>
                <w:sz w:val="17"/>
                <w:szCs w:val="17"/>
              </w:rPr>
              <w:t xml:space="preserve">12,168</w:t>
            </w:r>
          </w:p>
        </w:tc>
      </w:tr>
      <w:tr>
        <w:tc>
          <w:tcPr>
            <w:tcW w:type="dxa" w:w="5100"/>
            <w:shd w:fill="F8FAFB" w:val="clear"/>
            <w:tcMar>
              <w:top w:type="dxa" w:w="45"/>
              <w:left w:type="dxa" w:w="110"/>
              <w:bottom w:type="dxa" w:w="45"/>
              <w:right w:type="dxa" w:w="110"/>
            </w:tcMar>
          </w:tcPr>
          <w:p>
            <w:pPr>
              <w:jc w:val="left"/>
            </w:pPr>
            <w:r>
              <w:rPr>
                <w:sz w:val="17"/>
                <w:szCs w:val="17"/>
              </w:rPr>
              <w:t xml:space="preserve">Aspenleaf Energy</w:t>
            </w:r>
          </w:p>
        </w:tc>
        <w:tc>
          <w:tcPr>
            <w:tcW w:type="dxa" w:w="1900"/>
            <w:shd w:fill="F8FAFB" w:val="clear"/>
            <w:tcMar>
              <w:top w:type="dxa" w:w="45"/>
              <w:left w:type="dxa" w:w="110"/>
              <w:bottom w:type="dxa" w:w="45"/>
              <w:right w:type="dxa" w:w="110"/>
            </w:tcMar>
          </w:tcPr>
          <w:p>
            <w:pPr>
              <w:jc w:val="right"/>
            </w:pPr>
            <w:r>
              <w:rPr>
                <w:sz w:val="17"/>
                <w:szCs w:val="17"/>
              </w:rPr>
              <w:t xml:space="preserve">11,786</w:t>
            </w:r>
          </w:p>
        </w:tc>
      </w:tr>
      <w:tr>
        <w:tc>
          <w:tcPr>
            <w:tcW w:type="dxa" w:w="5100"/>
            <w:tcMar>
              <w:top w:type="dxa" w:w="45"/>
              <w:left w:type="dxa" w:w="110"/>
              <w:bottom w:type="dxa" w:w="45"/>
              <w:right w:type="dxa" w:w="110"/>
            </w:tcMar>
          </w:tcPr>
          <w:p>
            <w:pPr>
              <w:jc w:val="left"/>
            </w:pPr>
            <w:r>
              <w:rPr>
                <w:sz w:val="17"/>
                <w:szCs w:val="17"/>
              </w:rPr>
              <w:t xml:space="preserve">Canadian Natural</w:t>
            </w:r>
          </w:p>
        </w:tc>
        <w:tc>
          <w:tcPr>
            <w:tcW w:type="dxa" w:w="1900"/>
            <w:tcMar>
              <w:top w:type="dxa" w:w="45"/>
              <w:left w:type="dxa" w:w="110"/>
              <w:bottom w:type="dxa" w:w="45"/>
              <w:right w:type="dxa" w:w="110"/>
            </w:tcMar>
          </w:tcPr>
          <w:p>
            <w:pPr>
              <w:jc w:val="right"/>
            </w:pPr>
            <w:r>
              <w:rPr>
                <w:sz w:val="17"/>
                <w:szCs w:val="17"/>
              </w:rPr>
              <w:t xml:space="preserve">10,097</w:t>
            </w:r>
          </w:p>
        </w:tc>
      </w:tr>
      <w:tr>
        <w:tc>
          <w:tcPr>
            <w:tcW w:type="dxa" w:w="5100"/>
            <w:shd w:fill="F8FAFB" w:val="clear"/>
            <w:tcMar>
              <w:top w:type="dxa" w:w="45"/>
              <w:left w:type="dxa" w:w="110"/>
              <w:bottom w:type="dxa" w:w="45"/>
              <w:right w:type="dxa" w:w="110"/>
            </w:tcMar>
          </w:tcPr>
          <w:p>
            <w:pPr>
              <w:jc w:val="left"/>
            </w:pPr>
            <w:r>
              <w:rPr>
                <w:sz w:val="17"/>
                <w:szCs w:val="17"/>
              </w:rPr>
              <w:t xml:space="preserve">Artis Exploration</w:t>
            </w:r>
          </w:p>
        </w:tc>
        <w:tc>
          <w:tcPr>
            <w:tcW w:type="dxa" w:w="1900"/>
            <w:shd w:fill="F8FAFB" w:val="clear"/>
            <w:tcMar>
              <w:top w:type="dxa" w:w="45"/>
              <w:left w:type="dxa" w:w="110"/>
              <w:bottom w:type="dxa" w:w="45"/>
              <w:right w:type="dxa" w:w="110"/>
            </w:tcMar>
          </w:tcPr>
          <w:p>
            <w:pPr>
              <w:jc w:val="right"/>
            </w:pPr>
            <w:r>
              <w:rPr>
                <w:sz w:val="17"/>
                <w:szCs w:val="17"/>
              </w:rPr>
              <w:t xml:space="preserve">5,560</w:t>
            </w:r>
          </w:p>
        </w:tc>
      </w:tr>
      <w:tr>
        <w:tc>
          <w:tcPr>
            <w:tcW w:type="dxa" w:w="5100"/>
            <w:tcMar>
              <w:top w:type="dxa" w:w="45"/>
              <w:left w:type="dxa" w:w="110"/>
              <w:bottom w:type="dxa" w:w="45"/>
              <w:right w:type="dxa" w:w="110"/>
            </w:tcMar>
          </w:tcPr>
          <w:p>
            <w:pPr>
              <w:jc w:val="left"/>
            </w:pPr>
            <w:r>
              <w:rPr>
                <w:sz w:val="17"/>
                <w:szCs w:val="17"/>
              </w:rPr>
              <w:t xml:space="preserve">Acerta Operating</w:t>
            </w:r>
          </w:p>
        </w:tc>
        <w:tc>
          <w:tcPr>
            <w:tcW w:type="dxa" w:w="1900"/>
            <w:tcMar>
              <w:top w:type="dxa" w:w="45"/>
              <w:left w:type="dxa" w:w="110"/>
              <w:bottom w:type="dxa" w:w="45"/>
              <w:right w:type="dxa" w:w="110"/>
            </w:tcMar>
          </w:tcPr>
          <w:p>
            <w:pPr>
              <w:jc w:val="right"/>
            </w:pPr>
            <w:r>
              <w:rPr>
                <w:sz w:val="17"/>
                <w:szCs w:val="17"/>
              </w:rPr>
              <w:t xml:space="preserve">3,552</w:t>
            </w:r>
          </w:p>
        </w:tc>
      </w:tr>
      <w:tr>
        <w:tc>
          <w:tcPr>
            <w:tcW w:type="dxa" w:w="5100"/>
            <w:shd w:fill="F8FAFB" w:val="clear"/>
            <w:tcMar>
              <w:top w:type="dxa" w:w="45"/>
              <w:left w:type="dxa" w:w="110"/>
              <w:bottom w:type="dxa" w:w="45"/>
              <w:right w:type="dxa" w:w="110"/>
            </w:tcMar>
          </w:tcPr>
          <w:p>
            <w:pPr>
              <w:jc w:val="left"/>
            </w:pPr>
            <w:r>
              <w:rPr>
                <w:sz w:val="17"/>
                <w:szCs w:val="17"/>
              </w:rPr>
              <w:t xml:space="preserve">Whitecap Resources</w:t>
            </w:r>
          </w:p>
        </w:tc>
        <w:tc>
          <w:tcPr>
            <w:tcW w:type="dxa" w:w="1900"/>
            <w:shd w:fill="F8FAFB" w:val="clear"/>
            <w:tcMar>
              <w:top w:type="dxa" w:w="45"/>
              <w:left w:type="dxa" w:w="110"/>
              <w:bottom w:type="dxa" w:w="45"/>
              <w:right w:type="dxa" w:w="110"/>
            </w:tcMar>
          </w:tcPr>
          <w:p>
            <w:pPr>
              <w:jc w:val="right"/>
            </w:pPr>
            <w:r>
              <w:rPr>
                <w:sz w:val="17"/>
                <w:szCs w:val="17"/>
              </w:rPr>
              <w:t xml:space="preserve">3,211</w:t>
            </w:r>
          </w:p>
        </w:tc>
      </w:tr>
    </w:tbl>
    <w:p>
      <w:pPr>
        <w:spacing w:after="110"/>
      </w:pPr>
      <w:r>
        <w:rPr>
          <w:i w:val="false"/>
          <w:iCs w:val="false"/>
          <w:color w:val="6B7280"/>
          <w:sz w:val="19"/>
          <w:szCs w:val="19"/>
        </w:rPr>
        <w:t xml:space="preserve">So the area contains two businesses that share nothing but geography: Ember and Pine Cliff harvesting near-zero-decline dry gas with no capital, and Parallax, Aspenleaf and Artis drilling conventional oil. Averaging them into one boe figure hides both.</w:t>
      </w:r>
    </w:p>
    <w:p>
      <w:pPr>
        <w:pStyle w:val="Heading2"/>
        <w:spacing w:after="70" w:before="240"/>
      </w:pPr>
      <w:r>
        <w:rPr>
          <w:b/>
          <w:bCs/>
          <w:color w:val="1F4E5F"/>
          <w:sz w:val="23"/>
          <w:szCs w:val="23"/>
        </w:rPr>
        <w:t xml:space="preserve">Southeast Alberta shallow gas</w:t>
      </w:r>
    </w:p>
    <w:p>
      <w:pPr>
        <w:spacing w:after="110"/>
      </w:pPr>
      <w:r>
        <w:rPr>
          <w:i w:val="false"/>
          <w:iCs w:val="false"/>
          <w:sz w:val="19"/>
          <w:szCs w:val="19"/>
        </w:rPr>
        <w:t xml:space="preserve">Medicine Hat and the Lloydminster corridor. Shallow, old, declining, and the reason Alberta has so many low-rate wells.</w:t>
      </w:r>
    </w:p>
    <w:p>
      <w:pPr>
        <w:shd w:fill="EEF3F6" w:val="clear"/>
        <w:spacing w:after="100" w:before="40"/>
      </w:pPr>
      <w:r>
        <w:rPr>
          <w:b/>
          <w:bCs/>
          <w:color w:val="1F4E5F"/>
          <w:sz w:val="19"/>
          <w:szCs w:val="19"/>
        </w:rPr>
        <w:t xml:space="preserve">  112,682 boe/d  —  372 MMcf/d gas · 50,628 b/d oil  ·  55%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MMcf/d</w:t>
            </w:r>
          </w:p>
        </w:tc>
      </w:tr>
      <w:tr>
        <w:tc>
          <w:tcPr>
            <w:tcW w:type="dxa" w:w="5100"/>
            <w:tcMar>
              <w:top w:type="dxa" w:w="45"/>
              <w:left w:type="dxa" w:w="110"/>
              <w:bottom w:type="dxa" w:w="45"/>
              <w:right w:type="dxa" w:w="110"/>
            </w:tcMar>
          </w:tcPr>
          <w:p>
            <w:pPr>
              <w:jc w:val="left"/>
            </w:pPr>
            <w:r>
              <w:rPr>
                <w:sz w:val="17"/>
                <w:szCs w:val="17"/>
              </w:rPr>
              <w:t xml:space="preserve">Canadian Natural</w:t>
            </w:r>
          </w:p>
        </w:tc>
        <w:tc>
          <w:tcPr>
            <w:tcW w:type="dxa" w:w="1900"/>
            <w:tcMar>
              <w:top w:type="dxa" w:w="45"/>
              <w:left w:type="dxa" w:w="110"/>
              <w:bottom w:type="dxa" w:w="45"/>
              <w:right w:type="dxa" w:w="110"/>
            </w:tcMar>
          </w:tcPr>
          <w:p>
            <w:pPr>
              <w:jc w:val="right"/>
            </w:pPr>
            <w:r>
              <w:rPr>
                <w:sz w:val="17"/>
                <w:szCs w:val="17"/>
              </w:rPr>
              <w:t xml:space="preserve">135</w:t>
            </w:r>
          </w:p>
        </w:tc>
      </w:tr>
      <w:tr>
        <w:tc>
          <w:tcPr>
            <w:tcW w:type="dxa" w:w="5100"/>
            <w:shd w:fill="F8FAFB" w:val="clear"/>
            <w:tcMar>
              <w:top w:type="dxa" w:w="45"/>
              <w:left w:type="dxa" w:w="110"/>
              <w:bottom w:type="dxa" w:w="45"/>
              <w:right w:type="dxa" w:w="110"/>
            </w:tcMar>
          </w:tcPr>
          <w:p>
            <w:pPr>
              <w:jc w:val="left"/>
            </w:pPr>
            <w:r>
              <w:rPr>
                <w:sz w:val="17"/>
                <w:szCs w:val="17"/>
              </w:rPr>
              <w:t xml:space="preserve">IPC Canada</w:t>
            </w:r>
          </w:p>
        </w:tc>
        <w:tc>
          <w:tcPr>
            <w:tcW w:type="dxa" w:w="1900"/>
            <w:shd w:fill="F8FAFB" w:val="clear"/>
            <w:tcMar>
              <w:top w:type="dxa" w:w="45"/>
              <w:left w:type="dxa" w:w="110"/>
              <w:bottom w:type="dxa" w:w="45"/>
              <w:right w:type="dxa" w:w="110"/>
            </w:tcMar>
          </w:tcPr>
          <w:p>
            <w:pPr>
              <w:jc w:val="right"/>
            </w:pPr>
            <w:r>
              <w:rPr>
                <w:sz w:val="17"/>
                <w:szCs w:val="17"/>
              </w:rPr>
              <w:t xml:space="preserve">91</w:t>
            </w:r>
          </w:p>
        </w:tc>
      </w:tr>
      <w:tr>
        <w:tc>
          <w:tcPr>
            <w:tcW w:type="dxa" w:w="5100"/>
            <w:tcMar>
              <w:top w:type="dxa" w:w="45"/>
              <w:left w:type="dxa" w:w="110"/>
              <w:bottom w:type="dxa" w:w="45"/>
              <w:right w:type="dxa" w:w="110"/>
            </w:tcMar>
          </w:tcPr>
          <w:p>
            <w:pPr>
              <w:jc w:val="left"/>
            </w:pPr>
            <w:r>
              <w:rPr>
                <w:sz w:val="17"/>
                <w:szCs w:val="17"/>
              </w:rPr>
              <w:t xml:space="preserve">Canlin Energy</w:t>
            </w:r>
          </w:p>
        </w:tc>
        <w:tc>
          <w:tcPr>
            <w:tcW w:type="dxa" w:w="1900"/>
            <w:tcMar>
              <w:top w:type="dxa" w:w="45"/>
              <w:left w:type="dxa" w:w="110"/>
              <w:bottom w:type="dxa" w:w="45"/>
              <w:right w:type="dxa" w:w="110"/>
            </w:tcMar>
          </w:tcPr>
          <w:p>
            <w:pPr>
              <w:jc w:val="right"/>
            </w:pPr>
            <w:r>
              <w:rPr>
                <w:sz w:val="17"/>
                <w:szCs w:val="17"/>
              </w:rPr>
              <w:t xml:space="preserve">37</w:t>
            </w:r>
          </w:p>
        </w:tc>
      </w:tr>
      <w:tr>
        <w:tc>
          <w:tcPr>
            <w:tcW w:type="dxa" w:w="5100"/>
            <w:shd w:fill="F8FAFB" w:val="clear"/>
            <w:tcMar>
              <w:top w:type="dxa" w:w="45"/>
              <w:left w:type="dxa" w:w="110"/>
              <w:bottom w:type="dxa" w:w="45"/>
              <w:right w:type="dxa" w:w="110"/>
            </w:tcMar>
          </w:tcPr>
          <w:p>
            <w:pPr>
              <w:jc w:val="left"/>
            </w:pPr>
            <w:r>
              <w:rPr>
                <w:sz w:val="17"/>
                <w:szCs w:val="17"/>
              </w:rPr>
              <w:t xml:space="preserve">Rockpoint Gas Storage</w:t>
            </w:r>
          </w:p>
        </w:tc>
        <w:tc>
          <w:tcPr>
            <w:tcW w:type="dxa" w:w="1900"/>
            <w:shd w:fill="F8FAFB" w:val="clear"/>
            <w:tcMar>
              <w:top w:type="dxa" w:w="45"/>
              <w:left w:type="dxa" w:w="110"/>
              <w:bottom w:type="dxa" w:w="45"/>
              <w:right w:type="dxa" w:w="110"/>
            </w:tcMar>
          </w:tcPr>
          <w:p>
            <w:pPr>
              <w:jc w:val="right"/>
            </w:pPr>
            <w:r>
              <w:rPr>
                <w:sz w:val="17"/>
                <w:szCs w:val="17"/>
              </w:rPr>
              <w:t xml:space="preserve">26</w:t>
            </w:r>
          </w:p>
        </w:tc>
      </w:tr>
      <w:tr>
        <w:tc>
          <w:tcPr>
            <w:tcW w:type="dxa" w:w="5100"/>
            <w:tcMar>
              <w:top w:type="dxa" w:w="45"/>
              <w:left w:type="dxa" w:w="110"/>
              <w:bottom w:type="dxa" w:w="45"/>
              <w:right w:type="dxa" w:w="110"/>
            </w:tcMar>
          </w:tcPr>
          <w:p>
            <w:pPr>
              <w:jc w:val="left"/>
            </w:pPr>
            <w:r>
              <w:rPr>
                <w:sz w:val="17"/>
                <w:szCs w:val="17"/>
              </w:rPr>
              <w:t xml:space="preserve">Pine Cliff</w:t>
            </w:r>
          </w:p>
        </w:tc>
        <w:tc>
          <w:tcPr>
            <w:tcW w:type="dxa" w:w="1900"/>
            <w:tcMar>
              <w:top w:type="dxa" w:w="45"/>
              <w:left w:type="dxa" w:w="110"/>
              <w:bottom w:type="dxa" w:w="45"/>
              <w:right w:type="dxa" w:w="110"/>
            </w:tcMar>
          </w:tcPr>
          <w:p>
            <w:pPr>
              <w:jc w:val="right"/>
            </w:pPr>
            <w:r>
              <w:rPr>
                <w:sz w:val="17"/>
                <w:szCs w:val="17"/>
              </w:rPr>
              <w:t xml:space="preserve">20</w:t>
            </w:r>
          </w:p>
        </w:tc>
      </w:tr>
      <w:tr>
        <w:tc>
          <w:tcPr>
            <w:tcW w:type="dxa" w:w="5100"/>
            <w:shd w:fill="F8FAFB" w:val="clear"/>
            <w:tcMar>
              <w:top w:type="dxa" w:w="45"/>
              <w:left w:type="dxa" w:w="110"/>
              <w:bottom w:type="dxa" w:w="45"/>
              <w:right w:type="dxa" w:w="110"/>
            </w:tcMar>
          </w:tcPr>
          <w:p>
            <w:pPr>
              <w:jc w:val="left"/>
            </w:pPr>
            <w:r>
              <w:rPr>
                <w:sz w:val="17"/>
                <w:szCs w:val="17"/>
              </w:rPr>
              <w:t xml:space="preserve">City of Medicine Hat</w:t>
            </w:r>
          </w:p>
        </w:tc>
        <w:tc>
          <w:tcPr>
            <w:tcW w:type="dxa" w:w="1900"/>
            <w:shd w:fill="F8FAFB" w:val="clear"/>
            <w:tcMar>
              <w:top w:type="dxa" w:w="45"/>
              <w:left w:type="dxa" w:w="110"/>
              <w:bottom w:type="dxa" w:w="45"/>
              <w:right w:type="dxa" w:w="110"/>
            </w:tcMar>
          </w:tcPr>
          <w:p>
            <w:pPr>
              <w:jc w:val="right"/>
            </w:pPr>
            <w:r>
              <w:rPr>
                <w:sz w:val="17"/>
                <w:szCs w:val="17"/>
              </w:rPr>
              <w:t xml:space="preserve">9</w:t>
            </w:r>
          </w:p>
        </w:tc>
      </w:tr>
    </w:tbl>
    <w:p>
      <w:pPr>
        <w:spacing w:after="110"/>
      </w:pPr>
      <w:r>
        <w:rPr>
          <w:b/>
          <w:bCs/>
          <w:sz w:val="19"/>
          <w:szCs w:val="19"/>
        </w:rPr>
        <w:t xml:space="preserve">The liquids. </w:t>
      </w:r>
      <w:r>
        <w:rPr>
          <w:sz w:val="19"/>
          <w:szCs w:val="19"/>
        </w:rPr>
        <w:t xml:space="preserve">The name is now wrong. Liquids are 45% of boe and condensate yield is 0.05 bbl/MMcf — the gas is bone dry and shrinking, while the oil is the majority of the value. This box is really the Lloydminster heavy oil corridor with a legacy shallow gas overlay, and the shallow gas is the part that is disappearing.</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b/d crude</w:t>
            </w:r>
          </w:p>
        </w:tc>
      </w:tr>
      <w:tr>
        <w:tc>
          <w:tcPr>
            <w:tcW w:type="dxa" w:w="5100"/>
            <w:tcMar>
              <w:top w:type="dxa" w:w="45"/>
              <w:left w:type="dxa" w:w="110"/>
              <w:bottom w:type="dxa" w:w="45"/>
              <w:right w:type="dxa" w:w="110"/>
            </w:tcMar>
          </w:tcPr>
          <w:p>
            <w:pPr>
              <w:jc w:val="left"/>
            </w:pPr>
            <w:r>
              <w:rPr>
                <w:sz w:val="17"/>
                <w:szCs w:val="17"/>
              </w:rPr>
              <w:t xml:space="preserve">Canadian Natural</w:t>
            </w:r>
          </w:p>
        </w:tc>
        <w:tc>
          <w:tcPr>
            <w:tcW w:type="dxa" w:w="1900"/>
            <w:tcMar>
              <w:top w:type="dxa" w:w="45"/>
              <w:left w:type="dxa" w:w="110"/>
              <w:bottom w:type="dxa" w:w="45"/>
              <w:right w:type="dxa" w:w="110"/>
            </w:tcMar>
          </w:tcPr>
          <w:p>
            <w:pPr>
              <w:jc w:val="right"/>
            </w:pPr>
            <w:r>
              <w:rPr>
                <w:sz w:val="17"/>
                <w:szCs w:val="17"/>
              </w:rPr>
              <w:t xml:space="preserve">23,394</w:t>
            </w:r>
          </w:p>
        </w:tc>
      </w:tr>
      <w:tr>
        <w:tc>
          <w:tcPr>
            <w:tcW w:type="dxa" w:w="5100"/>
            <w:shd w:fill="F8FAFB" w:val="clear"/>
            <w:tcMar>
              <w:top w:type="dxa" w:w="45"/>
              <w:left w:type="dxa" w:w="110"/>
              <w:bottom w:type="dxa" w:w="45"/>
              <w:right w:type="dxa" w:w="110"/>
            </w:tcMar>
          </w:tcPr>
          <w:p>
            <w:pPr>
              <w:jc w:val="left"/>
            </w:pPr>
            <w:r>
              <w:rPr>
                <w:sz w:val="17"/>
                <w:szCs w:val="17"/>
              </w:rPr>
              <w:t xml:space="preserve">IPC Canada</w:t>
            </w:r>
          </w:p>
        </w:tc>
        <w:tc>
          <w:tcPr>
            <w:tcW w:type="dxa" w:w="1900"/>
            <w:shd w:fill="F8FAFB" w:val="clear"/>
            <w:tcMar>
              <w:top w:type="dxa" w:w="45"/>
              <w:left w:type="dxa" w:w="110"/>
              <w:bottom w:type="dxa" w:w="45"/>
              <w:right w:type="dxa" w:w="110"/>
            </w:tcMar>
          </w:tcPr>
          <w:p>
            <w:pPr>
              <w:jc w:val="right"/>
            </w:pPr>
            <w:r>
              <w:rPr>
                <w:sz w:val="17"/>
                <w:szCs w:val="17"/>
              </w:rPr>
              <w:t xml:space="preserve">8,763</w:t>
            </w:r>
          </w:p>
        </w:tc>
      </w:tr>
      <w:tr>
        <w:tc>
          <w:tcPr>
            <w:tcW w:type="dxa" w:w="5100"/>
            <w:tcMar>
              <w:top w:type="dxa" w:w="45"/>
              <w:left w:type="dxa" w:w="110"/>
              <w:bottom w:type="dxa" w:w="45"/>
              <w:right w:type="dxa" w:w="110"/>
            </w:tcMar>
          </w:tcPr>
          <w:p>
            <w:pPr>
              <w:jc w:val="left"/>
            </w:pPr>
            <w:r>
              <w:rPr>
                <w:sz w:val="17"/>
                <w:szCs w:val="17"/>
              </w:rPr>
              <w:t xml:space="preserve">Hemisphere Energy</w:t>
            </w:r>
          </w:p>
        </w:tc>
        <w:tc>
          <w:tcPr>
            <w:tcW w:type="dxa" w:w="1900"/>
            <w:tcMar>
              <w:top w:type="dxa" w:w="45"/>
              <w:left w:type="dxa" w:w="110"/>
              <w:bottom w:type="dxa" w:w="45"/>
              <w:right w:type="dxa" w:w="110"/>
            </w:tcMar>
          </w:tcPr>
          <w:p>
            <w:pPr>
              <w:jc w:val="right"/>
            </w:pPr>
            <w:r>
              <w:rPr>
                <w:sz w:val="17"/>
                <w:szCs w:val="17"/>
              </w:rPr>
              <w:t xml:space="preserve">3,390</w:t>
            </w:r>
          </w:p>
        </w:tc>
      </w:tr>
      <w:tr>
        <w:tc>
          <w:tcPr>
            <w:tcW w:type="dxa" w:w="5100"/>
            <w:shd w:fill="F8FAFB" w:val="clear"/>
            <w:tcMar>
              <w:top w:type="dxa" w:w="45"/>
              <w:left w:type="dxa" w:w="110"/>
              <w:bottom w:type="dxa" w:w="45"/>
              <w:right w:type="dxa" w:w="110"/>
            </w:tcMar>
          </w:tcPr>
          <w:p>
            <w:pPr>
              <w:jc w:val="left"/>
            </w:pPr>
            <w:r>
              <w:rPr>
                <w:sz w:val="17"/>
                <w:szCs w:val="17"/>
              </w:rPr>
              <w:t xml:space="preserve">Cardinal Energy</w:t>
            </w:r>
          </w:p>
        </w:tc>
        <w:tc>
          <w:tcPr>
            <w:tcW w:type="dxa" w:w="1900"/>
            <w:shd w:fill="F8FAFB" w:val="clear"/>
            <w:tcMar>
              <w:top w:type="dxa" w:w="45"/>
              <w:left w:type="dxa" w:w="110"/>
              <w:bottom w:type="dxa" w:w="45"/>
              <w:right w:type="dxa" w:w="110"/>
            </w:tcMar>
          </w:tcPr>
          <w:p>
            <w:pPr>
              <w:jc w:val="right"/>
            </w:pPr>
            <w:r>
              <w:rPr>
                <w:sz w:val="17"/>
                <w:szCs w:val="17"/>
              </w:rPr>
              <w:t xml:space="preserve">3,015</w:t>
            </w:r>
          </w:p>
        </w:tc>
      </w:tr>
      <w:tr>
        <w:tc>
          <w:tcPr>
            <w:tcW w:type="dxa" w:w="5100"/>
            <w:tcMar>
              <w:top w:type="dxa" w:w="45"/>
              <w:left w:type="dxa" w:w="110"/>
              <w:bottom w:type="dxa" w:w="45"/>
              <w:right w:type="dxa" w:w="110"/>
            </w:tcMar>
          </w:tcPr>
          <w:p>
            <w:pPr>
              <w:jc w:val="left"/>
            </w:pPr>
            <w:r>
              <w:rPr>
                <w:sz w:val="17"/>
                <w:szCs w:val="17"/>
              </w:rPr>
              <w:t xml:space="preserve">Astara Energy</w:t>
            </w:r>
          </w:p>
        </w:tc>
        <w:tc>
          <w:tcPr>
            <w:tcW w:type="dxa" w:w="1900"/>
            <w:tcMar>
              <w:top w:type="dxa" w:w="45"/>
              <w:left w:type="dxa" w:w="110"/>
              <w:bottom w:type="dxa" w:w="45"/>
              <w:right w:type="dxa" w:w="110"/>
            </w:tcMar>
          </w:tcPr>
          <w:p>
            <w:pPr>
              <w:jc w:val="right"/>
            </w:pPr>
            <w:r>
              <w:rPr>
                <w:sz w:val="17"/>
                <w:szCs w:val="17"/>
              </w:rPr>
              <w:t xml:space="preserve">3,012</w:t>
            </w:r>
          </w:p>
        </w:tc>
      </w:tr>
      <w:tr>
        <w:tc>
          <w:tcPr>
            <w:tcW w:type="dxa" w:w="5100"/>
            <w:shd w:fill="F8FAFB" w:val="clear"/>
            <w:tcMar>
              <w:top w:type="dxa" w:w="45"/>
              <w:left w:type="dxa" w:w="110"/>
              <w:bottom w:type="dxa" w:w="45"/>
              <w:right w:type="dxa" w:w="110"/>
            </w:tcMar>
          </w:tcPr>
          <w:p>
            <w:pPr>
              <w:jc w:val="left"/>
            </w:pPr>
            <w:r>
              <w:rPr>
                <w:sz w:val="17"/>
                <w:szCs w:val="17"/>
              </w:rPr>
              <w:t xml:space="preserve">Journey Energy</w:t>
            </w:r>
          </w:p>
        </w:tc>
        <w:tc>
          <w:tcPr>
            <w:tcW w:type="dxa" w:w="1900"/>
            <w:shd w:fill="F8FAFB" w:val="clear"/>
            <w:tcMar>
              <w:top w:type="dxa" w:w="45"/>
              <w:left w:type="dxa" w:w="110"/>
              <w:bottom w:type="dxa" w:w="45"/>
              <w:right w:type="dxa" w:w="110"/>
            </w:tcMar>
          </w:tcPr>
          <w:p>
            <w:pPr>
              <w:jc w:val="right"/>
            </w:pPr>
            <w:r>
              <w:rPr>
                <w:sz w:val="17"/>
                <w:szCs w:val="17"/>
              </w:rPr>
              <w:t xml:space="preserve">2,425</w:t>
            </w:r>
          </w:p>
        </w:tc>
      </w:tr>
    </w:tbl>
    <w:p>
      <w:pPr>
        <w:spacing w:after="110"/>
      </w:pPr>
      <w:r>
        <w:rPr>
          <w:i w:val="false"/>
          <w:iCs w:val="false"/>
          <w:color w:val="6B7280"/>
          <w:sz w:val="19"/>
          <w:szCs w:val="19"/>
        </w:rPr>
        <w:t xml:space="preserve">The oil is heavy — Lloydminster blend, priced off WCS, and needing some diluent of its own though far less than bitumen. CNRL and IPC both run thermal and polymer flood projects in this corridor. Strathcona's Lloydminster Thermal assets sit just across the Saskatchewan line and are not in this data.</w:t>
      </w:r>
    </w:p>
    <w:p>
      <w:pPr>
        <w:pStyle w:val="Heading1"/>
        <w:pBdr>
          <w:bottom w:val="single" w:color="D5DBE0" w:sz="6"/>
        </w:pBdr>
        <w:spacing w:after="130" w:before="340"/>
      </w:pPr>
      <w:r>
        <w:rPr>
          <w:b/>
          <w:bCs/>
          <w:color w:val="1F4E5F"/>
          <w:sz w:val="28"/>
          <w:szCs w:val="28"/>
        </w:rPr>
        <w:t xml:space="preserve">Oil plays</w:t>
      </w:r>
    </w:p>
    <w:p>
      <w:pPr>
        <w:pStyle w:val="Heading2"/>
        <w:spacing w:after="70" w:before="240"/>
      </w:pPr>
      <w:r>
        <w:rPr>
          <w:b/>
          <w:bCs/>
          <w:color w:val="1F4E5F"/>
          <w:sz w:val="23"/>
          <w:szCs w:val="23"/>
        </w:rPr>
        <w:t xml:space="preserve">Athabasca in-situ — Christina Lake, Foster Creek, Firebag, Surmont</w:t>
      </w:r>
    </w:p>
    <w:p>
      <w:pPr>
        <w:spacing w:after="110"/>
      </w:pPr>
      <w:r>
        <w:rPr>
          <w:i w:val="false"/>
          <w:iCs w:val="false"/>
          <w:sz w:val="19"/>
          <w:szCs w:val="19"/>
        </w:rPr>
        <w:t xml:space="preserve">SAGD thermal — paired horizontal wells, steam injected above, heated bitumen drains into the producer below. The largest single pool of production in the country and the core of the Canadian large-cap story. Low decline and long life, but capital never stops: new well pairs are drilled continuously to keep the central plant full. Growth arrives in lumps as plants are expanded, which is why thermal names guide to named projects rather than a rig count.</w:t>
      </w:r>
    </w:p>
    <w:p>
      <w:pPr>
        <w:shd w:fill="EEF3F6" w:val="clear"/>
        <w:spacing w:after="100" w:before="40"/>
      </w:pPr>
      <w:r>
        <w:rPr>
          <w:b/>
          <w:bCs/>
          <w:color w:val="1F4E5F"/>
          <w:sz w:val="19"/>
          <w:szCs w:val="19"/>
        </w:rPr>
        <w:t xml:space="preserve">  1,230,554 boe/d  —  1,190,664 b/d bitumen · 239 MMcf/d gas  ·  3%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b/d</w:t>
            </w:r>
          </w:p>
        </w:tc>
      </w:tr>
      <w:tr>
        <w:tc>
          <w:tcPr>
            <w:tcW w:type="dxa" w:w="5100"/>
            <w:tcMar>
              <w:top w:type="dxa" w:w="45"/>
              <w:left w:type="dxa" w:w="110"/>
              <w:bottom w:type="dxa" w:w="45"/>
              <w:right w:type="dxa" w:w="110"/>
            </w:tcMar>
          </w:tcPr>
          <w:p>
            <w:pPr>
              <w:jc w:val="left"/>
            </w:pPr>
            <w:r>
              <w:rPr>
                <w:sz w:val="17"/>
                <w:szCs w:val="17"/>
              </w:rPr>
              <w:t xml:space="preserve">Cenovus</w:t>
            </w:r>
          </w:p>
        </w:tc>
        <w:tc>
          <w:tcPr>
            <w:tcW w:type="dxa" w:w="1900"/>
            <w:tcMar>
              <w:top w:type="dxa" w:w="45"/>
              <w:left w:type="dxa" w:w="110"/>
              <w:bottom w:type="dxa" w:w="45"/>
              <w:right w:type="dxa" w:w="110"/>
            </w:tcMar>
          </w:tcPr>
          <w:p>
            <w:pPr>
              <w:jc w:val="right"/>
            </w:pPr>
            <w:r>
              <w:rPr>
                <w:sz w:val="17"/>
                <w:szCs w:val="17"/>
              </w:rPr>
              <w:t xml:space="preserve">439,294</w:t>
            </w:r>
          </w:p>
        </w:tc>
      </w:tr>
      <w:tr>
        <w:tc>
          <w:tcPr>
            <w:tcW w:type="dxa" w:w="5100"/>
            <w:shd w:fill="F8FAFB" w:val="clear"/>
            <w:tcMar>
              <w:top w:type="dxa" w:w="45"/>
              <w:left w:type="dxa" w:w="110"/>
              <w:bottom w:type="dxa" w:w="45"/>
              <w:right w:type="dxa" w:w="110"/>
            </w:tcMar>
          </w:tcPr>
          <w:p>
            <w:pPr>
              <w:jc w:val="left"/>
            </w:pPr>
            <w:r>
              <w:rPr>
                <w:sz w:val="17"/>
                <w:szCs w:val="17"/>
              </w:rPr>
              <w:t xml:space="preserve">Suncor</w:t>
            </w:r>
          </w:p>
        </w:tc>
        <w:tc>
          <w:tcPr>
            <w:tcW w:type="dxa" w:w="1900"/>
            <w:shd w:fill="F8FAFB" w:val="clear"/>
            <w:tcMar>
              <w:top w:type="dxa" w:w="45"/>
              <w:left w:type="dxa" w:w="110"/>
              <w:bottom w:type="dxa" w:w="45"/>
              <w:right w:type="dxa" w:w="110"/>
            </w:tcMar>
          </w:tcPr>
          <w:p>
            <w:pPr>
              <w:jc w:val="right"/>
            </w:pPr>
            <w:r>
              <w:rPr>
                <w:sz w:val="17"/>
                <w:szCs w:val="17"/>
              </w:rPr>
              <w:t xml:space="preserve">275,728</w:t>
            </w:r>
          </w:p>
        </w:tc>
      </w:tr>
      <w:tr>
        <w:tc>
          <w:tcPr>
            <w:tcW w:type="dxa" w:w="5100"/>
            <w:tcMar>
              <w:top w:type="dxa" w:w="45"/>
              <w:left w:type="dxa" w:w="110"/>
              <w:bottom w:type="dxa" w:w="45"/>
              <w:right w:type="dxa" w:w="110"/>
            </w:tcMar>
          </w:tcPr>
          <w:p>
            <w:pPr>
              <w:jc w:val="left"/>
            </w:pPr>
            <w:r>
              <w:rPr>
                <w:sz w:val="17"/>
                <w:szCs w:val="17"/>
              </w:rPr>
              <w:t xml:space="preserve">Canadian Natural</w:t>
            </w:r>
          </w:p>
        </w:tc>
        <w:tc>
          <w:tcPr>
            <w:tcW w:type="dxa" w:w="1900"/>
            <w:tcMar>
              <w:top w:type="dxa" w:w="45"/>
              <w:left w:type="dxa" w:w="110"/>
              <w:bottom w:type="dxa" w:w="45"/>
              <w:right w:type="dxa" w:w="110"/>
            </w:tcMar>
          </w:tcPr>
          <w:p>
            <w:pPr>
              <w:jc w:val="right"/>
            </w:pPr>
            <w:r>
              <w:rPr>
                <w:sz w:val="17"/>
                <w:szCs w:val="17"/>
              </w:rPr>
              <w:t xml:space="preserve">179,548</w:t>
            </w:r>
          </w:p>
        </w:tc>
      </w:tr>
      <w:tr>
        <w:tc>
          <w:tcPr>
            <w:tcW w:type="dxa" w:w="5100"/>
            <w:shd w:fill="F8FAFB" w:val="clear"/>
            <w:tcMar>
              <w:top w:type="dxa" w:w="45"/>
              <w:left w:type="dxa" w:w="110"/>
              <w:bottom w:type="dxa" w:w="45"/>
              <w:right w:type="dxa" w:w="110"/>
            </w:tcMar>
          </w:tcPr>
          <w:p>
            <w:pPr>
              <w:jc w:val="left"/>
            </w:pPr>
            <w:r>
              <w:rPr>
                <w:sz w:val="17"/>
                <w:szCs w:val="17"/>
              </w:rPr>
              <w:t xml:space="preserve">ConocoPhillips</w:t>
            </w:r>
          </w:p>
        </w:tc>
        <w:tc>
          <w:tcPr>
            <w:tcW w:type="dxa" w:w="1900"/>
            <w:shd w:fill="F8FAFB" w:val="clear"/>
            <w:tcMar>
              <w:top w:type="dxa" w:w="45"/>
              <w:left w:type="dxa" w:w="110"/>
              <w:bottom w:type="dxa" w:w="45"/>
              <w:right w:type="dxa" w:w="110"/>
            </w:tcMar>
          </w:tcPr>
          <w:p>
            <w:pPr>
              <w:jc w:val="right"/>
            </w:pPr>
            <w:r>
              <w:rPr>
                <w:sz w:val="17"/>
                <w:szCs w:val="17"/>
              </w:rPr>
              <w:t xml:space="preserve">135,914</w:t>
            </w:r>
          </w:p>
        </w:tc>
      </w:tr>
      <w:tr>
        <w:tc>
          <w:tcPr>
            <w:tcW w:type="dxa" w:w="5100"/>
            <w:tcMar>
              <w:top w:type="dxa" w:w="45"/>
              <w:left w:type="dxa" w:w="110"/>
              <w:bottom w:type="dxa" w:w="45"/>
              <w:right w:type="dxa" w:w="110"/>
            </w:tcMar>
          </w:tcPr>
          <w:p>
            <w:pPr>
              <w:jc w:val="left"/>
            </w:pPr>
            <w:r>
              <w:rPr>
                <w:sz w:val="17"/>
                <w:szCs w:val="17"/>
              </w:rPr>
              <w:t xml:space="preserve">CNOOC</w:t>
            </w:r>
          </w:p>
        </w:tc>
        <w:tc>
          <w:tcPr>
            <w:tcW w:type="dxa" w:w="1900"/>
            <w:tcMar>
              <w:top w:type="dxa" w:w="45"/>
              <w:left w:type="dxa" w:w="110"/>
              <w:bottom w:type="dxa" w:w="45"/>
              <w:right w:type="dxa" w:w="110"/>
            </w:tcMar>
          </w:tcPr>
          <w:p>
            <w:pPr>
              <w:jc w:val="right"/>
            </w:pPr>
            <w:r>
              <w:rPr>
                <w:sz w:val="17"/>
                <w:szCs w:val="17"/>
              </w:rPr>
              <w:t xml:space="preserve">69,220</w:t>
            </w:r>
          </w:p>
        </w:tc>
      </w:tr>
      <w:tr>
        <w:tc>
          <w:tcPr>
            <w:tcW w:type="dxa" w:w="5100"/>
            <w:shd w:fill="F8FAFB" w:val="clear"/>
            <w:tcMar>
              <w:top w:type="dxa" w:w="45"/>
              <w:left w:type="dxa" w:w="110"/>
              <w:bottom w:type="dxa" w:w="45"/>
              <w:right w:type="dxa" w:w="110"/>
            </w:tcMar>
          </w:tcPr>
          <w:p>
            <w:pPr>
              <w:jc w:val="left"/>
            </w:pPr>
            <w:r>
              <w:rPr>
                <w:sz w:val="17"/>
                <w:szCs w:val="17"/>
              </w:rPr>
              <w:t xml:space="preserve">Athabasca Oil</w:t>
            </w:r>
          </w:p>
        </w:tc>
        <w:tc>
          <w:tcPr>
            <w:tcW w:type="dxa" w:w="1900"/>
            <w:shd w:fill="F8FAFB" w:val="clear"/>
            <w:tcMar>
              <w:top w:type="dxa" w:w="45"/>
              <w:left w:type="dxa" w:w="110"/>
              <w:bottom w:type="dxa" w:w="45"/>
              <w:right w:type="dxa" w:w="110"/>
            </w:tcMar>
          </w:tcPr>
          <w:p>
            <w:pPr>
              <w:jc w:val="right"/>
            </w:pPr>
            <w:r>
              <w:rPr>
                <w:sz w:val="17"/>
                <w:szCs w:val="17"/>
              </w:rPr>
              <w:t xml:space="preserve">32,250</w:t>
            </w:r>
          </w:p>
        </w:tc>
      </w:tr>
    </w:tbl>
    <w:p>
      <w:pPr>
        <w:spacing w:after="110"/>
      </w:pPr>
      <w:r>
        <w:rPr>
          <w:i w:val="false"/>
          <w:iCs w:val="false"/>
          <w:color w:val="6B7280"/>
          <w:sz w:val="19"/>
          <w:szCs w:val="19"/>
        </w:rPr>
        <w:t xml:space="preserve">Cenovus's position reflects the MEG acquisition, which closed 13 November 2025 and consolidated Christina Lake. MEG delisted the next day — do not name it as a comp.</w:t>
      </w:r>
    </w:p>
    <w:p>
      <w:pPr>
        <w:pStyle w:val="Heading2"/>
        <w:spacing w:after="70" w:before="240"/>
      </w:pPr>
      <w:r>
        <w:rPr>
          <w:b/>
          <w:bCs/>
          <w:color w:val="1F4E5F"/>
          <w:sz w:val="23"/>
          <w:szCs w:val="23"/>
        </w:rPr>
        <w:t xml:space="preserve">Cold Lake</w:t>
      </w:r>
    </w:p>
    <w:p>
      <w:pPr>
        <w:spacing w:after="110"/>
      </w:pPr>
      <w:r>
        <w:rPr>
          <w:i w:val="false"/>
          <w:iCs w:val="false"/>
          <w:sz w:val="19"/>
          <w:szCs w:val="19"/>
        </w:rPr>
        <w:t xml:space="preserve">Cyclic steam (CSS, or "huff and puff" — one well alternately injects steam then produces, rather than the two-well SAGD arrangement) alongside SAGD. Imperial's Cold Lake operation is its entire Alberta production, which is a useful check that the geographic attribution is sound.</w:t>
      </w:r>
    </w:p>
    <w:p>
      <w:pPr>
        <w:shd w:fill="EEF3F6" w:val="clear"/>
        <w:spacing w:after="100" w:before="40"/>
      </w:pPr>
      <w:r>
        <w:rPr>
          <w:b/>
          <w:bCs/>
          <w:color w:val="1F4E5F"/>
          <w:sz w:val="19"/>
          <w:szCs w:val="19"/>
        </w:rPr>
        <w:t xml:space="preserve">  639,561 boe/d  —  605,548 b/d bitumen · 204 MMcf/d gas  ·  5%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b/d</w:t>
            </w:r>
          </w:p>
        </w:tc>
      </w:tr>
      <w:tr>
        <w:tc>
          <w:tcPr>
            <w:tcW w:type="dxa" w:w="5100"/>
            <w:tcMar>
              <w:top w:type="dxa" w:w="45"/>
              <w:left w:type="dxa" w:w="110"/>
              <w:bottom w:type="dxa" w:w="45"/>
              <w:right w:type="dxa" w:w="110"/>
            </w:tcMar>
          </w:tcPr>
          <w:p>
            <w:pPr>
              <w:jc w:val="left"/>
            </w:pPr>
            <w:r>
              <w:rPr>
                <w:sz w:val="17"/>
                <w:szCs w:val="17"/>
              </w:rPr>
              <w:t xml:space="preserve">Cenovus</w:t>
            </w:r>
          </w:p>
        </w:tc>
        <w:tc>
          <w:tcPr>
            <w:tcW w:type="dxa" w:w="1900"/>
            <w:tcMar>
              <w:top w:type="dxa" w:w="45"/>
              <w:left w:type="dxa" w:w="110"/>
              <w:bottom w:type="dxa" w:w="45"/>
              <w:right w:type="dxa" w:w="110"/>
            </w:tcMar>
          </w:tcPr>
          <w:p>
            <w:pPr>
              <w:jc w:val="right"/>
            </w:pPr>
            <w:r>
              <w:rPr>
                <w:sz w:val="17"/>
                <w:szCs w:val="17"/>
              </w:rPr>
              <w:t xml:space="preserve">185,958</w:t>
            </w:r>
          </w:p>
        </w:tc>
      </w:tr>
      <w:tr>
        <w:tc>
          <w:tcPr>
            <w:tcW w:type="dxa" w:w="5100"/>
            <w:shd w:fill="F8FAFB" w:val="clear"/>
            <w:tcMar>
              <w:top w:type="dxa" w:w="45"/>
              <w:left w:type="dxa" w:w="110"/>
              <w:bottom w:type="dxa" w:w="45"/>
              <w:right w:type="dxa" w:w="110"/>
            </w:tcMar>
          </w:tcPr>
          <w:p>
            <w:pPr>
              <w:jc w:val="left"/>
            </w:pPr>
            <w:r>
              <w:rPr>
                <w:sz w:val="17"/>
                <w:szCs w:val="17"/>
              </w:rPr>
              <w:t xml:space="preserve">Canadian Natural</w:t>
            </w:r>
          </w:p>
        </w:tc>
        <w:tc>
          <w:tcPr>
            <w:tcW w:type="dxa" w:w="1900"/>
            <w:shd w:fill="F8FAFB" w:val="clear"/>
            <w:tcMar>
              <w:top w:type="dxa" w:w="45"/>
              <w:left w:type="dxa" w:w="110"/>
              <w:bottom w:type="dxa" w:w="45"/>
              <w:right w:type="dxa" w:w="110"/>
            </w:tcMar>
          </w:tcPr>
          <w:p>
            <w:pPr>
              <w:jc w:val="right"/>
            </w:pPr>
            <w:r>
              <w:rPr>
                <w:sz w:val="17"/>
                <w:szCs w:val="17"/>
              </w:rPr>
              <w:t xml:space="preserve">166,345</w:t>
            </w:r>
          </w:p>
        </w:tc>
      </w:tr>
      <w:tr>
        <w:tc>
          <w:tcPr>
            <w:tcW w:type="dxa" w:w="5100"/>
            <w:tcMar>
              <w:top w:type="dxa" w:w="45"/>
              <w:left w:type="dxa" w:w="110"/>
              <w:bottom w:type="dxa" w:w="45"/>
              <w:right w:type="dxa" w:w="110"/>
            </w:tcMar>
          </w:tcPr>
          <w:p>
            <w:pPr>
              <w:jc w:val="left"/>
            </w:pPr>
            <w:r>
              <w:rPr>
                <w:sz w:val="17"/>
                <w:szCs w:val="17"/>
              </w:rPr>
              <w:t xml:space="preserve">Imperial Oil</w:t>
            </w:r>
          </w:p>
        </w:tc>
        <w:tc>
          <w:tcPr>
            <w:tcW w:type="dxa" w:w="1900"/>
            <w:tcMar>
              <w:top w:type="dxa" w:w="45"/>
              <w:left w:type="dxa" w:w="110"/>
              <w:bottom w:type="dxa" w:w="45"/>
              <w:right w:type="dxa" w:w="110"/>
            </w:tcMar>
          </w:tcPr>
          <w:p>
            <w:pPr>
              <w:jc w:val="right"/>
            </w:pPr>
            <w:r>
              <w:rPr>
                <w:sz w:val="17"/>
                <w:szCs w:val="17"/>
              </w:rPr>
              <w:t xml:space="preserve">160,371</w:t>
            </w:r>
          </w:p>
        </w:tc>
      </w:tr>
      <w:tr>
        <w:tc>
          <w:tcPr>
            <w:tcW w:type="dxa" w:w="5100"/>
            <w:shd w:fill="F8FAFB" w:val="clear"/>
            <w:tcMar>
              <w:top w:type="dxa" w:w="45"/>
              <w:left w:type="dxa" w:w="110"/>
              <w:bottom w:type="dxa" w:w="45"/>
              <w:right w:type="dxa" w:w="110"/>
            </w:tcMar>
          </w:tcPr>
          <w:p>
            <w:pPr>
              <w:jc w:val="left"/>
            </w:pPr>
            <w:r>
              <w:rPr>
                <w:sz w:val="17"/>
                <w:szCs w:val="17"/>
              </w:rPr>
              <w:t xml:space="preserve">Strathcona</w:t>
            </w:r>
          </w:p>
        </w:tc>
        <w:tc>
          <w:tcPr>
            <w:tcW w:type="dxa" w:w="1900"/>
            <w:shd w:fill="F8FAFB" w:val="clear"/>
            <w:tcMar>
              <w:top w:type="dxa" w:w="45"/>
              <w:left w:type="dxa" w:w="110"/>
              <w:bottom w:type="dxa" w:w="45"/>
              <w:right w:type="dxa" w:w="110"/>
            </w:tcMar>
          </w:tcPr>
          <w:p>
            <w:pPr>
              <w:jc w:val="right"/>
            </w:pPr>
            <w:r>
              <w:rPr>
                <w:sz w:val="17"/>
                <w:szCs w:val="17"/>
              </w:rPr>
              <w:t xml:space="preserve">65,063</w:t>
            </w:r>
          </w:p>
        </w:tc>
      </w:tr>
      <w:tr>
        <w:tc>
          <w:tcPr>
            <w:tcW w:type="dxa" w:w="5100"/>
            <w:tcMar>
              <w:top w:type="dxa" w:w="45"/>
              <w:left w:type="dxa" w:w="110"/>
              <w:bottom w:type="dxa" w:w="45"/>
              <w:right w:type="dxa" w:w="110"/>
            </w:tcMar>
          </w:tcPr>
          <w:p>
            <w:pPr>
              <w:jc w:val="left"/>
            </w:pPr>
            <w:r>
              <w:rPr>
                <w:sz w:val="17"/>
                <w:szCs w:val="17"/>
              </w:rPr>
              <w:t xml:space="preserve">Caltex Trilogy</w:t>
            </w:r>
          </w:p>
        </w:tc>
        <w:tc>
          <w:tcPr>
            <w:tcW w:type="dxa" w:w="1900"/>
            <w:tcMar>
              <w:top w:type="dxa" w:w="45"/>
              <w:left w:type="dxa" w:w="110"/>
              <w:bottom w:type="dxa" w:w="45"/>
              <w:right w:type="dxa" w:w="110"/>
            </w:tcMar>
          </w:tcPr>
          <w:p>
            <w:pPr>
              <w:jc w:val="right"/>
            </w:pPr>
            <w:r>
              <w:rPr>
                <w:sz w:val="17"/>
                <w:szCs w:val="17"/>
              </w:rPr>
              <w:t xml:space="preserve">12,770</w:t>
            </w:r>
          </w:p>
        </w:tc>
      </w:tr>
      <w:tr>
        <w:tc>
          <w:tcPr>
            <w:tcW w:type="dxa" w:w="5100"/>
            <w:shd w:fill="F8FAFB" w:val="clear"/>
            <w:tcMar>
              <w:top w:type="dxa" w:w="45"/>
              <w:left w:type="dxa" w:w="110"/>
              <w:bottom w:type="dxa" w:w="45"/>
              <w:right w:type="dxa" w:w="110"/>
            </w:tcMar>
          </w:tcPr>
          <w:p>
            <w:pPr>
              <w:jc w:val="left"/>
            </w:pPr>
            <w:r>
              <w:rPr>
                <w:sz w:val="17"/>
                <w:szCs w:val="17"/>
              </w:rPr>
              <w:t xml:space="preserve">Baytex</w:t>
            </w:r>
          </w:p>
        </w:tc>
        <w:tc>
          <w:tcPr>
            <w:tcW w:type="dxa" w:w="1900"/>
            <w:shd w:fill="F8FAFB" w:val="clear"/>
            <w:tcMar>
              <w:top w:type="dxa" w:w="45"/>
              <w:left w:type="dxa" w:w="110"/>
              <w:bottom w:type="dxa" w:w="45"/>
              <w:right w:type="dxa" w:w="110"/>
            </w:tcMar>
          </w:tcPr>
          <w:p>
            <w:pPr>
              <w:jc w:val="right"/>
            </w:pPr>
            <w:r>
              <w:rPr>
                <w:sz w:val="17"/>
                <w:szCs w:val="17"/>
              </w:rPr>
              <w:t xml:space="preserve">7,277</w:t>
            </w:r>
          </w:p>
        </w:tc>
      </w:tr>
    </w:tbl>
    <w:p>
      <w:pPr>
        <w:pStyle w:val="Heading2"/>
        <w:spacing w:after="70" w:before="240"/>
      </w:pPr>
      <w:r>
        <w:rPr>
          <w:b/>
          <w:bCs/>
          <w:color w:val="1F4E5F"/>
          <w:sz w:val="23"/>
          <w:szCs w:val="23"/>
        </w:rPr>
        <w:t xml:space="preserve">Clearwater — Marten Hills, Peavine, Nipisi</w:t>
      </w:r>
    </w:p>
    <w:p>
      <w:pPr>
        <w:spacing w:after="110"/>
      </w:pPr>
      <w:r>
        <w:rPr>
          <w:i w:val="false"/>
          <w:iCs w:val="false"/>
          <w:sz w:val="19"/>
          <w:szCs w:val="19"/>
        </w:rPr>
        <w:t xml:space="preserve">Shallow, cheap heavy oil produced from multilateral wells — several horizontal legs drilled from a single wellbore, which spreads the cost of one surface location across much more reservoir contact. The highest capital efficiency in Canadian conventional and the most interesting play of the last five years. Almost no associated gas, and no steam, which is what separates it from the thermal plays.</w:t>
      </w:r>
    </w:p>
    <w:p>
      <w:pPr>
        <w:shd w:fill="EEF3F6" w:val="clear"/>
        <w:spacing w:after="100" w:before="40"/>
      </w:pPr>
      <w:r>
        <w:rPr>
          <w:b/>
          <w:bCs/>
          <w:color w:val="1F4E5F"/>
          <w:sz w:val="19"/>
          <w:szCs w:val="19"/>
        </w:rPr>
        <w:t xml:space="preserve">  212,131 boe/d  —  192,486 b/d oil · 118 MMcf/d gas  ·  9%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b/d</w:t>
            </w:r>
          </w:p>
        </w:tc>
      </w:tr>
      <w:tr>
        <w:tc>
          <w:tcPr>
            <w:tcW w:type="dxa" w:w="5100"/>
            <w:tcMar>
              <w:top w:type="dxa" w:w="45"/>
              <w:left w:type="dxa" w:w="110"/>
              <w:bottom w:type="dxa" w:w="45"/>
              <w:right w:type="dxa" w:w="110"/>
            </w:tcMar>
          </w:tcPr>
          <w:p>
            <w:pPr>
              <w:jc w:val="left"/>
            </w:pPr>
            <w:r>
              <w:rPr>
                <w:sz w:val="17"/>
                <w:szCs w:val="17"/>
              </w:rPr>
              <w:t xml:space="preserve">Spur Petroleum</w:t>
            </w:r>
          </w:p>
        </w:tc>
        <w:tc>
          <w:tcPr>
            <w:tcW w:type="dxa" w:w="1900"/>
            <w:tcMar>
              <w:top w:type="dxa" w:w="45"/>
              <w:left w:type="dxa" w:w="110"/>
              <w:bottom w:type="dxa" w:w="45"/>
              <w:right w:type="dxa" w:w="110"/>
            </w:tcMar>
          </w:tcPr>
          <w:p>
            <w:pPr>
              <w:jc w:val="right"/>
            </w:pPr>
            <w:r>
              <w:rPr>
                <w:sz w:val="17"/>
                <w:szCs w:val="17"/>
              </w:rPr>
              <w:t xml:space="preserve">60,665</w:t>
            </w:r>
          </w:p>
        </w:tc>
      </w:tr>
      <w:tr>
        <w:tc>
          <w:tcPr>
            <w:tcW w:type="dxa" w:w="5100"/>
            <w:shd w:fill="F8FAFB" w:val="clear"/>
            <w:tcMar>
              <w:top w:type="dxa" w:w="45"/>
              <w:left w:type="dxa" w:w="110"/>
              <w:bottom w:type="dxa" w:w="45"/>
              <w:right w:type="dxa" w:w="110"/>
            </w:tcMar>
          </w:tcPr>
          <w:p>
            <w:pPr>
              <w:jc w:val="left"/>
            </w:pPr>
            <w:r>
              <w:rPr>
                <w:sz w:val="17"/>
                <w:szCs w:val="17"/>
              </w:rPr>
              <w:t xml:space="preserve">Canadian Natural</w:t>
            </w:r>
          </w:p>
        </w:tc>
        <w:tc>
          <w:tcPr>
            <w:tcW w:type="dxa" w:w="1900"/>
            <w:shd w:fill="F8FAFB" w:val="clear"/>
            <w:tcMar>
              <w:top w:type="dxa" w:w="45"/>
              <w:left w:type="dxa" w:w="110"/>
              <w:bottom w:type="dxa" w:w="45"/>
              <w:right w:type="dxa" w:w="110"/>
            </w:tcMar>
          </w:tcPr>
          <w:p>
            <w:pPr>
              <w:jc w:val="right"/>
            </w:pPr>
            <w:r>
              <w:rPr>
                <w:sz w:val="17"/>
                <w:szCs w:val="17"/>
              </w:rPr>
              <w:t xml:space="preserve">44,544</w:t>
            </w:r>
          </w:p>
        </w:tc>
      </w:tr>
      <w:tr>
        <w:tc>
          <w:tcPr>
            <w:tcW w:type="dxa" w:w="5100"/>
            <w:tcMar>
              <w:top w:type="dxa" w:w="45"/>
              <w:left w:type="dxa" w:w="110"/>
              <w:bottom w:type="dxa" w:w="45"/>
              <w:right w:type="dxa" w:w="110"/>
            </w:tcMar>
          </w:tcPr>
          <w:p>
            <w:pPr>
              <w:jc w:val="left"/>
            </w:pPr>
            <w:r>
              <w:rPr>
                <w:sz w:val="17"/>
                <w:szCs w:val="17"/>
              </w:rPr>
              <w:t xml:space="preserve">Tamarack Valley</w:t>
            </w:r>
          </w:p>
        </w:tc>
        <w:tc>
          <w:tcPr>
            <w:tcW w:type="dxa" w:w="1900"/>
            <w:tcMar>
              <w:top w:type="dxa" w:w="45"/>
              <w:left w:type="dxa" w:w="110"/>
              <w:bottom w:type="dxa" w:w="45"/>
              <w:right w:type="dxa" w:w="110"/>
            </w:tcMar>
          </w:tcPr>
          <w:p>
            <w:pPr>
              <w:jc w:val="right"/>
            </w:pPr>
            <w:r>
              <w:rPr>
                <w:sz w:val="17"/>
                <w:szCs w:val="17"/>
              </w:rPr>
              <w:t xml:space="preserve">43,462</w:t>
            </w:r>
          </w:p>
        </w:tc>
      </w:tr>
      <w:tr>
        <w:tc>
          <w:tcPr>
            <w:tcW w:type="dxa" w:w="5100"/>
            <w:shd w:fill="F8FAFB" w:val="clear"/>
            <w:tcMar>
              <w:top w:type="dxa" w:w="45"/>
              <w:left w:type="dxa" w:w="110"/>
              <w:bottom w:type="dxa" w:w="45"/>
              <w:right w:type="dxa" w:w="110"/>
            </w:tcMar>
          </w:tcPr>
          <w:p>
            <w:pPr>
              <w:jc w:val="left"/>
            </w:pPr>
            <w:r>
              <w:rPr>
                <w:sz w:val="17"/>
                <w:szCs w:val="17"/>
              </w:rPr>
              <w:t xml:space="preserve">Headwater Exploration</w:t>
            </w:r>
          </w:p>
        </w:tc>
        <w:tc>
          <w:tcPr>
            <w:tcW w:type="dxa" w:w="1900"/>
            <w:shd w:fill="F8FAFB" w:val="clear"/>
            <w:tcMar>
              <w:top w:type="dxa" w:w="45"/>
              <w:left w:type="dxa" w:w="110"/>
              <w:bottom w:type="dxa" w:w="45"/>
              <w:right w:type="dxa" w:w="110"/>
            </w:tcMar>
          </w:tcPr>
          <w:p>
            <w:pPr>
              <w:jc w:val="right"/>
            </w:pPr>
            <w:r>
              <w:rPr>
                <w:sz w:val="17"/>
                <w:szCs w:val="17"/>
              </w:rPr>
              <w:t xml:space="preserve">23,123</w:t>
            </w:r>
          </w:p>
        </w:tc>
      </w:tr>
      <w:tr>
        <w:tc>
          <w:tcPr>
            <w:tcW w:type="dxa" w:w="5100"/>
            <w:tcMar>
              <w:top w:type="dxa" w:w="45"/>
              <w:left w:type="dxa" w:w="110"/>
              <w:bottom w:type="dxa" w:w="45"/>
              <w:right w:type="dxa" w:w="110"/>
            </w:tcMar>
          </w:tcPr>
          <w:p>
            <w:pPr>
              <w:jc w:val="left"/>
            </w:pPr>
            <w:r>
              <w:rPr>
                <w:sz w:val="17"/>
                <w:szCs w:val="17"/>
              </w:rPr>
              <w:t xml:space="preserve">Cardinal Energy</w:t>
            </w:r>
          </w:p>
        </w:tc>
        <w:tc>
          <w:tcPr>
            <w:tcW w:type="dxa" w:w="1900"/>
            <w:tcMar>
              <w:top w:type="dxa" w:w="45"/>
              <w:left w:type="dxa" w:w="110"/>
              <w:bottom w:type="dxa" w:w="45"/>
              <w:right w:type="dxa" w:w="110"/>
            </w:tcMar>
          </w:tcPr>
          <w:p>
            <w:pPr>
              <w:jc w:val="right"/>
            </w:pPr>
            <w:r>
              <w:rPr>
                <w:sz w:val="17"/>
                <w:szCs w:val="17"/>
              </w:rPr>
              <w:t xml:space="preserve">4,179</w:t>
            </w:r>
          </w:p>
        </w:tc>
      </w:tr>
      <w:tr>
        <w:tc>
          <w:tcPr>
            <w:tcW w:type="dxa" w:w="5100"/>
            <w:shd w:fill="F8FAFB" w:val="clear"/>
            <w:tcMar>
              <w:top w:type="dxa" w:w="45"/>
              <w:left w:type="dxa" w:w="110"/>
              <w:bottom w:type="dxa" w:w="45"/>
              <w:right w:type="dxa" w:w="110"/>
            </w:tcMar>
          </w:tcPr>
          <w:p>
            <w:pPr>
              <w:jc w:val="left"/>
            </w:pPr>
            <w:r>
              <w:rPr>
                <w:sz w:val="17"/>
                <w:szCs w:val="17"/>
              </w:rPr>
              <w:t xml:space="preserve">Clear North Energy</w:t>
            </w:r>
          </w:p>
        </w:tc>
        <w:tc>
          <w:tcPr>
            <w:tcW w:type="dxa" w:w="1900"/>
            <w:shd w:fill="F8FAFB" w:val="clear"/>
            <w:tcMar>
              <w:top w:type="dxa" w:w="45"/>
              <w:left w:type="dxa" w:w="110"/>
              <w:bottom w:type="dxa" w:w="45"/>
              <w:right w:type="dxa" w:w="110"/>
            </w:tcMar>
          </w:tcPr>
          <w:p>
            <w:pPr>
              <w:jc w:val="right"/>
            </w:pPr>
            <w:r>
              <w:rPr>
                <w:sz w:val="17"/>
                <w:szCs w:val="17"/>
              </w:rPr>
              <w:t xml:space="preserve">3,048</w:t>
            </w:r>
          </w:p>
        </w:tc>
      </w:tr>
    </w:tbl>
    <w:p>
      <w:pPr>
        <w:pStyle w:val="Heading2"/>
        <w:spacing w:after="70" w:before="240"/>
      </w:pPr>
      <w:r>
        <w:rPr>
          <w:b/>
          <w:bCs/>
          <w:color w:val="1F4E5F"/>
          <w:sz w:val="23"/>
          <w:szCs w:val="23"/>
        </w:rPr>
        <w:t xml:space="preserve">Peace River oil sands</w:t>
      </w:r>
    </w:p>
    <w:p>
      <w:pPr>
        <w:spacing w:after="110"/>
      </w:pPr>
      <w:r>
        <w:rPr>
          <w:i w:val="false"/>
          <w:iCs w:val="false"/>
          <w:sz w:val="19"/>
          <w:szCs w:val="19"/>
        </w:rPr>
        <w:t xml:space="preserve">Heavy oil in the northwest. Smaller than Athabasca or Cold Lake, and the play most associated with Baytex.</w:t>
      </w:r>
    </w:p>
    <w:p>
      <w:pPr>
        <w:shd w:fill="EEF3F6" w:val="clear"/>
        <w:spacing w:after="100" w:before="40"/>
      </w:pPr>
      <w:r>
        <w:rPr>
          <w:b/>
          <w:bCs/>
          <w:color w:val="1F4E5F"/>
          <w:sz w:val="19"/>
          <w:szCs w:val="19"/>
        </w:rPr>
        <w:t xml:space="preserve">  52,658 boe/d  —  41,668 b/d oil · 66 MMcf/d gas  ·  21%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b/d</w:t>
            </w:r>
          </w:p>
        </w:tc>
      </w:tr>
      <w:tr>
        <w:tc>
          <w:tcPr>
            <w:tcW w:type="dxa" w:w="5100"/>
            <w:tcMar>
              <w:top w:type="dxa" w:w="45"/>
              <w:left w:type="dxa" w:w="110"/>
              <w:bottom w:type="dxa" w:w="45"/>
              <w:right w:type="dxa" w:w="110"/>
            </w:tcMar>
          </w:tcPr>
          <w:p>
            <w:pPr>
              <w:jc w:val="left"/>
            </w:pPr>
            <w:r>
              <w:rPr>
                <w:sz w:val="17"/>
                <w:szCs w:val="17"/>
              </w:rPr>
              <w:t xml:space="preserve">Baytex</w:t>
            </w:r>
          </w:p>
        </w:tc>
        <w:tc>
          <w:tcPr>
            <w:tcW w:type="dxa" w:w="1900"/>
            <w:tcMar>
              <w:top w:type="dxa" w:w="45"/>
              <w:left w:type="dxa" w:w="110"/>
              <w:bottom w:type="dxa" w:w="45"/>
              <w:right w:type="dxa" w:w="110"/>
            </w:tcMar>
          </w:tcPr>
          <w:p>
            <w:pPr>
              <w:jc w:val="right"/>
            </w:pPr>
            <w:r>
              <w:rPr>
                <w:sz w:val="17"/>
                <w:szCs w:val="17"/>
              </w:rPr>
              <w:t xml:space="preserve">17,046</w:t>
            </w:r>
          </w:p>
        </w:tc>
      </w:tr>
      <w:tr>
        <w:tc>
          <w:tcPr>
            <w:tcW w:type="dxa" w:w="5100"/>
            <w:shd w:fill="F8FAFB" w:val="clear"/>
            <w:tcMar>
              <w:top w:type="dxa" w:w="45"/>
              <w:left w:type="dxa" w:w="110"/>
              <w:bottom w:type="dxa" w:w="45"/>
              <w:right w:type="dxa" w:w="110"/>
            </w:tcMar>
          </w:tcPr>
          <w:p>
            <w:pPr>
              <w:jc w:val="left"/>
            </w:pPr>
            <w:r>
              <w:rPr>
                <w:sz w:val="17"/>
                <w:szCs w:val="17"/>
              </w:rPr>
              <w:t xml:space="preserve">Obsidian Energy</w:t>
            </w:r>
          </w:p>
        </w:tc>
        <w:tc>
          <w:tcPr>
            <w:tcW w:type="dxa" w:w="1900"/>
            <w:shd w:fill="F8FAFB" w:val="clear"/>
            <w:tcMar>
              <w:top w:type="dxa" w:w="45"/>
              <w:left w:type="dxa" w:w="110"/>
              <w:bottom w:type="dxa" w:w="45"/>
              <w:right w:type="dxa" w:w="110"/>
            </w:tcMar>
          </w:tcPr>
          <w:p>
            <w:pPr>
              <w:jc w:val="right"/>
            </w:pPr>
            <w:r>
              <w:rPr>
                <w:sz w:val="17"/>
                <w:szCs w:val="17"/>
              </w:rPr>
              <w:t xml:space="preserve">9,915</w:t>
            </w:r>
          </w:p>
        </w:tc>
      </w:tr>
      <w:tr>
        <w:tc>
          <w:tcPr>
            <w:tcW w:type="dxa" w:w="5100"/>
            <w:tcMar>
              <w:top w:type="dxa" w:w="45"/>
              <w:left w:type="dxa" w:w="110"/>
              <w:bottom w:type="dxa" w:w="45"/>
              <w:right w:type="dxa" w:w="110"/>
            </w:tcMar>
          </w:tcPr>
          <w:p>
            <w:pPr>
              <w:jc w:val="left"/>
            </w:pPr>
            <w:r>
              <w:rPr>
                <w:sz w:val="17"/>
                <w:szCs w:val="17"/>
              </w:rPr>
              <w:t xml:space="preserve">Canadian Natural Upgrading</w:t>
            </w:r>
          </w:p>
        </w:tc>
        <w:tc>
          <w:tcPr>
            <w:tcW w:type="dxa" w:w="1900"/>
            <w:tcMar>
              <w:top w:type="dxa" w:w="45"/>
              <w:left w:type="dxa" w:w="110"/>
              <w:bottom w:type="dxa" w:w="45"/>
              <w:right w:type="dxa" w:w="110"/>
            </w:tcMar>
          </w:tcPr>
          <w:p>
            <w:pPr>
              <w:jc w:val="right"/>
            </w:pPr>
            <w:r>
              <w:rPr>
                <w:sz w:val="17"/>
                <w:szCs w:val="17"/>
              </w:rPr>
              <w:t xml:space="preserve">9,699</w:t>
            </w:r>
          </w:p>
        </w:tc>
      </w:tr>
      <w:tr>
        <w:tc>
          <w:tcPr>
            <w:tcW w:type="dxa" w:w="5100"/>
            <w:shd w:fill="F8FAFB" w:val="clear"/>
            <w:tcMar>
              <w:top w:type="dxa" w:w="45"/>
              <w:left w:type="dxa" w:w="110"/>
              <w:bottom w:type="dxa" w:w="45"/>
              <w:right w:type="dxa" w:w="110"/>
            </w:tcMar>
          </w:tcPr>
          <w:p>
            <w:pPr>
              <w:jc w:val="left"/>
            </w:pPr>
            <w:r>
              <w:rPr>
                <w:sz w:val="17"/>
                <w:szCs w:val="17"/>
              </w:rPr>
              <w:t xml:space="preserve">Spur Petroleum</w:t>
            </w:r>
          </w:p>
        </w:tc>
        <w:tc>
          <w:tcPr>
            <w:tcW w:type="dxa" w:w="1900"/>
            <w:shd w:fill="F8FAFB" w:val="clear"/>
            <w:tcMar>
              <w:top w:type="dxa" w:w="45"/>
              <w:left w:type="dxa" w:w="110"/>
              <w:bottom w:type="dxa" w:w="45"/>
              <w:right w:type="dxa" w:w="110"/>
            </w:tcMar>
          </w:tcPr>
          <w:p>
            <w:pPr>
              <w:jc w:val="right"/>
            </w:pPr>
            <w:r>
              <w:rPr>
                <w:sz w:val="17"/>
                <w:szCs w:val="17"/>
              </w:rPr>
              <w:t xml:space="preserve">1,789</w:t>
            </w:r>
          </w:p>
        </w:tc>
      </w:tr>
      <w:tr>
        <w:tc>
          <w:tcPr>
            <w:tcW w:type="dxa" w:w="5100"/>
            <w:tcMar>
              <w:top w:type="dxa" w:w="45"/>
              <w:left w:type="dxa" w:w="110"/>
              <w:bottom w:type="dxa" w:w="45"/>
              <w:right w:type="dxa" w:w="110"/>
            </w:tcMar>
          </w:tcPr>
          <w:p>
            <w:pPr>
              <w:jc w:val="left"/>
            </w:pPr>
            <w:r>
              <w:rPr>
                <w:sz w:val="17"/>
                <w:szCs w:val="17"/>
              </w:rPr>
              <w:t xml:space="preserve">Surge Energy</w:t>
            </w:r>
          </w:p>
        </w:tc>
        <w:tc>
          <w:tcPr>
            <w:tcW w:type="dxa" w:w="1900"/>
            <w:tcMar>
              <w:top w:type="dxa" w:w="45"/>
              <w:left w:type="dxa" w:w="110"/>
              <w:bottom w:type="dxa" w:w="45"/>
              <w:right w:type="dxa" w:w="110"/>
            </w:tcMar>
          </w:tcPr>
          <w:p>
            <w:pPr>
              <w:jc w:val="right"/>
            </w:pPr>
            <w:r>
              <w:rPr>
                <w:sz w:val="17"/>
                <w:szCs w:val="17"/>
              </w:rPr>
              <w:t xml:space="preserve">1,220</w:t>
            </w:r>
          </w:p>
        </w:tc>
      </w:tr>
    </w:tbl>
    <w:p>
      <w:pPr>
        <w:pStyle w:val="Heading1"/>
        <w:pBdr>
          <w:bottom w:val="single" w:color="D5DBE0" w:sz="6"/>
        </w:pBdr>
        <w:spacing w:after="130" w:before="340"/>
      </w:pPr>
      <w:r>
        <w:rPr>
          <w:b/>
          <w:bCs/>
          <w:color w:val="1F4E5F"/>
          <w:sz w:val="28"/>
          <w:szCs w:val="28"/>
        </w:rPr>
        <w:t xml:space="preserve">Condensate — where the numbers come from</w:t>
      </w:r>
    </w:p>
    <w:p>
      <w:pPr>
        <w:spacing w:after="110"/>
      </w:pPr>
      <w:r>
        <w:rPr>
          <w:i w:val="false"/>
          <w:iCs w:val="false"/>
          <w:sz w:val="19"/>
          <w:szCs w:val="19"/>
        </w:rPr>
        <w:t xml:space="preserve">Alberta condensate is reported in two places, and using only one of them understates the stream by roughly five times. This matters more than any other data issue in this document.</w:t>
      </w:r>
    </w:p>
    <w:p>
      <w:pPr>
        <w:shd w:fill="EEF3F6" w:val="clear"/>
        <w:spacing w:after="100" w:before="40"/>
      </w:pPr>
      <w:r>
        <w:rPr>
          <w:b/>
          <w:bCs/>
          <w:color w:val="1F4E5F"/>
          <w:sz w:val="19"/>
          <w:szCs w:val="19"/>
        </w:rPr>
        <w:t xml:space="preserve">  Plant C5-SP  275,938 b/d  ·  Plant C5-MX  56,220  ·  Battery COND  95,870  —  Alberta C5+ roughly 372,000 b/d  </w:t>
      </w:r>
    </w:p>
    <w:p>
      <w:pPr>
        <w:spacing w:after="110"/>
      </w:pPr>
      <w:r>
        <w:rPr>
          <w:b/>
          <w:bCs/>
          <w:sz w:val="19"/>
          <w:szCs w:val="19"/>
        </w:rPr>
        <w:t xml:space="preserve">Why the split exists. </w:t>
      </w:r>
      <w:r>
        <w:rPr>
          <w:sz w:val="19"/>
          <w:szCs w:val="19"/>
        </w:rPr>
        <w:t xml:space="preserve">Petrinex books a volume at the facility that measures it. An operator metering liquids at its own field battery has condensate allocated back to the well. An operator sending raw gas to a third-party deep-cut or straddle plant has the C5+ stripped downstream and recorded against the plant — never against the well that produced it.</w:t>
      </w:r>
    </w:p>
    <w:p>
      <w:pPr>
        <w:spacing w:after="110"/>
      </w:pPr>
      <w:r>
        <w:rPr>
          <w:i w:val="false"/>
          <w:iCs w:val="false"/>
          <w:sz w:val="19"/>
          <w:szCs w:val="19"/>
        </w:rPr>
        <w:t xml:space="preserve">The distortion looks exactly like geology and is not. ARC shows 84 bbl/MMcf across 548 MMcf/d because ARC meters at its own effluent batteries. Ovintiv shows 0.1 bbl/MMcf across 964 MMcf/d — in Kakwa, one of the most condensate-rich areas on the continent. Ovintiv's condensate is real; this file simply cannot see it. Reading that contrast as rock quality would be a serious error.</w:t>
      </w:r>
    </w:p>
    <w:p>
      <w:pPr>
        <w:spacing w:after="110"/>
      </w:pPr>
      <w:r>
        <w:rPr>
          <w:b/>
          <w:bCs/>
          <w:sz w:val="19"/>
          <w:szCs w:val="19"/>
        </w:rPr>
        <w:t xml:space="preserve">What was done about it. </w:t>
      </w:r>
      <w:r>
        <w:rPr>
          <w:sz w:val="19"/>
          <w:szCs w:val="19"/>
        </w:rPr>
        <w:t xml:space="preserve">Plant-level C5-SP is now pulled separately and geocoded from each facility's DLS location, giving 212 mapped plants and 277,413 b/d — against 67,951 b/d visible in the well data. Play-level condensate in this document uses the plant figures. The correction is largest in the Deep Basin, where it is twelvefold and reverses the conclusion the well data invites.</w:t>
      </w:r>
    </w:p>
    <w:p>
      <w:pPr>
        <w:spacing w:after="110"/>
      </w:pPr>
      <w:r>
        <w:rPr>
          <w:b/>
          <w:bCs/>
          <w:sz w:val="19"/>
          <w:szCs w:val="19"/>
        </w:rPr>
        <w:t xml:space="preserve">What still cannot be done. </w:t>
      </w:r>
      <w:r>
        <w:rPr>
          <w:sz w:val="19"/>
          <w:szCs w:val="19"/>
        </w:rPr>
        <w:t xml:space="preserve">Plant volumes cannot be pushed back to wells. Gas receipts recorded at plants total 613 MMcf/d against 11,650 MMcf/d of Alberta production, and only 3.8% name a facility present in the well file — most gas arrives via gathering systems whose upstream legs are not reported. Any well-level allocation would be invention.</w:t>
      </w:r>
    </w:p>
    <w:p>
      <w:pPr>
        <w:pStyle w:val="ListParagraph"/>
        <w:numPr>
          <w:ilvl w:val="0"/>
          <w:numId w:val="2"/>
        </w:numPr>
        <w:spacing w:after="60"/>
      </w:pPr>
      <w:r>
        <w:rPr>
          <w:sz w:val="19"/>
          <w:szCs w:val="19"/>
        </w:rPr>
        <w:t xml:space="preserve">Play-level condensate — use the plant figures. Sound.</w:t>
      </w:r>
    </w:p>
    <w:p>
      <w:pPr>
        <w:pStyle w:val="ListParagraph"/>
        <w:numPr>
          <w:ilvl w:val="0"/>
          <w:numId w:val="2"/>
        </w:numPr>
        <w:spacing w:after="60"/>
      </w:pPr>
      <w:r>
        <w:rPr>
          <w:sz w:val="19"/>
          <w:szCs w:val="19"/>
        </w:rPr>
        <w:t xml:space="preserve">Operator-level condensate — do not use this data at all. Cite company disclosure or AER ST98.</w:t>
      </w:r>
    </w:p>
    <w:p>
      <w:pPr>
        <w:pStyle w:val="ListParagraph"/>
        <w:numPr>
          <w:ilvl w:val="0"/>
          <w:numId w:val="2"/>
        </w:numPr>
        <w:spacing w:after="60"/>
      </w:pPr>
      <w:r>
        <w:rPr>
          <w:sz w:val="19"/>
          <w:szCs w:val="19"/>
        </w:rPr>
        <w:t xml:space="preserve">Plant operator is not the gas owner. The largest C5+ processors are Pembina Gas Infrastructure and Keyera, midstream firms owning none of the molecules.</w:t>
      </w:r>
    </w:p>
    <w:p>
      <w:pPr>
        <w:pStyle w:val="ListParagraph"/>
        <w:numPr>
          <w:ilvl w:val="0"/>
          <w:numId w:val="2"/>
        </w:numPr>
        <w:spacing w:after="60"/>
      </w:pPr>
      <w:r>
        <w:rPr>
          <w:sz w:val="19"/>
          <w:szCs w:val="19"/>
        </w:rPr>
        <w:t xml:space="preserve">Plants draw gas from beyond their own play box, so play attribution of plant volumes shows where condensate is recovered, not strictly where it was produced.</w:t>
      </w:r>
    </w:p>
    <w:p>
      <w:pPr>
        <w:pStyle w:val="ListParagraph"/>
        <w:numPr>
          <w:ilvl w:val="0"/>
          <w:numId w:val="2"/>
        </w:numPr>
        <w:spacing w:after="60"/>
      </w:pPr>
      <w:r>
        <w:rPr>
          <w:sz w:val="19"/>
          <w:szCs w:val="19"/>
        </w:rPr>
        <w:t xml:space="preserve">Gas and crude oil volumes are well-measured throughout and need none of these qualifications.</w:t>
      </w:r>
    </w:p>
    <w:p>
      <w:pPr>
        <w:pStyle w:val="Heading1"/>
        <w:pBdr>
          <w:bottom w:val="single" w:color="D5DBE0" w:sz="6"/>
        </w:pBdr>
        <w:spacing w:after="130" w:before="340"/>
      </w:pPr>
      <w:r>
        <w:rPr>
          <w:b/>
          <w:bCs/>
          <w:color w:val="1F4E5F"/>
          <w:sz w:val="28"/>
          <w:szCs w:val="28"/>
        </w:rPr>
        <w:t xml:space="preserve">Not in the data</w:t>
      </w:r>
    </w:p>
    <w:p>
      <w:pPr>
        <w:pStyle w:val="ListParagraph"/>
        <w:numPr>
          <w:ilvl w:val="0"/>
          <w:numId w:val="2"/>
        </w:numPr>
        <w:spacing w:after="60"/>
      </w:pPr>
      <w:r>
        <w:rPr>
          <w:sz w:val="19"/>
          <w:szCs w:val="19"/>
        </w:rPr>
        <w:t xml:space="preserve">Oil sands mining — Athabasca, north of Fort McMurray. Suncor (Base Plant, Fort Hills), CNRL (Horizon, AOSP), Imperial (Kearl), Syncrude. Roughly 1.3 MMbbl/d, withheld by Petrinex.</w:t>
      </w:r>
    </w:p>
    <w:p>
      <w:pPr>
        <w:pStyle w:val="ListParagraph"/>
        <w:numPr>
          <w:ilvl w:val="0"/>
          <w:numId w:val="2"/>
        </w:numPr>
        <w:spacing w:after="60"/>
      </w:pPr>
      <w:r>
        <w:rPr>
          <w:sz w:val="19"/>
          <w:szCs w:val="19"/>
        </w:rPr>
        <w:t xml:space="preserve">BC Montney — Groundbirch, Dawson Creek, Fort St John. Tourmaline, ARC, Ovintiv, Petronas, Shell. Needs BCER production data.</w:t>
      </w:r>
    </w:p>
    <w:p>
      <w:pPr>
        <w:pStyle w:val="ListParagraph"/>
        <w:numPr>
          <w:ilvl w:val="0"/>
          <w:numId w:val="2"/>
        </w:numPr>
        <w:spacing w:after="60"/>
      </w:pPr>
      <w:r>
        <w:rPr>
          <w:sz w:val="19"/>
          <w:szCs w:val="19"/>
        </w:rPr>
        <w:t xml:space="preserve">Saskatchewan — Bakken and Torquay around Estevan, Viking in the southwest, and Strathcona's Lloydminster Thermal. Whitecap is the main public Bakken name after the Veren acquisition. Needs the Petrinex SK pull.</w:t>
      </w:r>
    </w:p>
    <w:p>
      <w:pPr>
        <w:pStyle w:val="ListParagraph"/>
        <w:numPr>
          <w:ilvl w:val="0"/>
          <w:numId w:val="2"/>
        </w:numPr>
        <w:spacing w:after="60"/>
      </w:pPr>
      <w:r>
        <w:rPr>
          <w:sz w:val="19"/>
          <w:szCs w:val="19"/>
        </w:rPr>
        <w:t xml:space="preserve">Offshore Newfoundland — Hibernia, Terra Nova, Hebron, White Rose. Suncor, Cenovus, ExxonMobil.</w:t>
      </w:r>
    </w:p>
    <w:p>
      <w:pPr>
        <w:pStyle w:val="Heading1"/>
        <w:pBdr>
          <w:bottom w:val="single" w:color="D5DBE0" w:sz="6"/>
        </w:pBdr>
        <w:spacing w:after="130" w:before="340"/>
      </w:pPr>
      <w:r>
        <w:rPr>
          <w:b/>
          <w:bCs/>
          <w:color w:val="1F4E5F"/>
          <w:sz w:val="28"/>
          <w:szCs w:val="28"/>
        </w:rPr>
        <w:t xml:space="preserve">Infrastructure — the marketing half of the question</w:t>
      </w:r>
    </w:p>
    <w:p>
      <w:pPr>
        <w:spacing w:after="110"/>
      </w:pPr>
      <w:r>
        <w:rPr>
          <w:b/>
          <w:bCs/>
          <w:sz w:val="19"/>
          <w:szCs w:val="19"/>
        </w:rPr>
        <w:t xml:space="preserve">Gas. </w:t>
      </w:r>
      <w:r>
        <w:rPr>
          <w:sz w:val="19"/>
          <w:szCs w:val="19"/>
        </w:rPr>
        <w:t xml:space="preserve">NGTL gathers essentially all Alberta supply and hands off at Empress (east, to the TC Mainline and Saskatchewan) and the Alberta/BC border (west, via Foothills to Kingsgate). Alliance moves liquids-rich gas direct to Chicago. Westcoast T-South carries northeast BC gas to Huntingdon/Sumas. AECO is the Alberta hub; Station 2 is northeast BC.</w:t>
      </w:r>
    </w:p>
    <w:p>
      <w:pPr>
        <w:spacing w:after="110"/>
      </w:pPr>
      <w:r>
        <w:rPr>
          <w:i w:val="false"/>
          <w:iCs w:val="false"/>
          <w:sz w:val="19"/>
          <w:szCs w:val="19"/>
        </w:rPr>
        <w:t xml:space="preserve">LNG Canada at Kitimat, fed by Coastal GasLink, is the structural change — the first material new demand for WCSB gas in decades. Cedar LNG and Woodfibre follow.</w:t>
      </w:r>
    </w:p>
    <w:p>
      <w:pPr>
        <w:spacing w:after="110"/>
      </w:pPr>
      <w:r>
        <w:rPr>
          <w:b/>
          <w:bCs/>
          <w:sz w:val="19"/>
          <w:szCs w:val="19"/>
        </w:rPr>
        <w:t xml:space="preserve">Oil. </w:t>
      </w:r>
      <w:r>
        <w:rPr>
          <w:sz w:val="19"/>
          <w:szCs w:val="19"/>
        </w:rPr>
        <w:t xml:space="preserve">Enbridge Mainline to the US Midwest, Keystone to Cushing and the Gulf, TMX to Burnaby — the last of which changed the WCS differential. Heavy prices off WCS at Hardisty, light off Edmonton Par.</w:t>
      </w:r>
    </w:p>
    <w:p>
      <w:pPr>
        <w:pStyle w:val="Heading1"/>
        <w:pBdr>
          <w:bottom w:val="single" w:color="D5DBE0" w:sz="6"/>
        </w:pBdr>
        <w:spacing w:after="130" w:before="340"/>
      </w:pPr>
      <w:r>
        <w:rPr>
          <w:b/>
          <w:bCs/>
          <w:color w:val="1F4E5F"/>
          <w:sz w:val="28"/>
          <w:szCs w:val="28"/>
        </w:rPr>
        <w:t xml:space="preserve">Terminology</w:t>
      </w:r>
    </w:p>
    <w:p>
      <w:pPr>
        <w:pStyle w:val="Heading2"/>
        <w:spacing w:after="70" w:before="240"/>
      </w:pPr>
      <w:r>
        <w:rPr>
          <w:b/>
          <w:bCs/>
          <w:color w:val="1F4E5F"/>
          <w:sz w:val="23"/>
          <w:szCs w:val="23"/>
        </w:rPr>
        <w:t xml:space="preserve">Producing techniques</w:t>
      </w:r>
    </w:p>
    <w:p>
      <w:pPr>
        <w:spacing w:after="90"/>
        <w:ind w:left="28"/>
      </w:pPr>
      <w:r>
        <w:rPr>
          <w:b/>
          <w:bCs/>
          <w:color w:val="1F4E5F"/>
          <w:sz w:val="19"/>
          <w:szCs w:val="19"/>
        </w:rPr>
        <w:t xml:space="preserve">SAGD — </w:t>
      </w:r>
      <w:r>
        <w:rPr>
          <w:sz w:val="19"/>
          <w:szCs w:val="19"/>
        </w:rPr>
        <w:t xml:space="preserve">Steam Assisted Gravity Drainage. Two horizontal wells stacked about five metres apart; steam injected into the upper one heats the bitumen until it flows, and gravity drains it into the lower producer. Gas-intensive, so a SAGD operator's operating cost moves with AECO — thermal producers are a large source of Alberta gas demand.</w:t>
      </w:r>
    </w:p>
    <w:p>
      <w:pPr>
        <w:spacing w:after="90"/>
        <w:ind w:left="28"/>
      </w:pPr>
      <w:r>
        <w:rPr>
          <w:b/>
          <w:bCs/>
          <w:color w:val="1F4E5F"/>
          <w:sz w:val="19"/>
          <w:szCs w:val="19"/>
        </w:rPr>
        <w:t xml:space="preserve">CSS — </w:t>
      </w:r>
      <w:r>
        <w:rPr>
          <w:sz w:val="19"/>
          <w:szCs w:val="19"/>
        </w:rPr>
        <w:t xml:space="preserve">Cyclic Steam Stimulation, or "huff and puff". One well alternately injects steam and produces. Used at Cold Lake.</w:t>
      </w:r>
    </w:p>
    <w:p>
      <w:pPr>
        <w:spacing w:after="90"/>
        <w:ind w:left="28"/>
      </w:pPr>
      <w:r>
        <w:rPr>
          <w:b/>
          <w:bCs/>
          <w:color w:val="1F4E5F"/>
          <w:sz w:val="19"/>
          <w:szCs w:val="19"/>
        </w:rPr>
        <w:t xml:space="preserve">Mining — </w:t>
      </w:r>
      <w:r>
        <w:rPr>
          <w:sz w:val="19"/>
          <w:szCs w:val="19"/>
        </w:rPr>
        <w:t xml:space="preserve">Truck-and-shovel oil sands recovery where the deposit is shallow enough to dig, north of Fort McMurray. Not drilling at all, and withheld from this data.</w:t>
      </w:r>
    </w:p>
    <w:p>
      <w:pPr>
        <w:spacing w:after="90"/>
        <w:ind w:left="28"/>
      </w:pPr>
      <w:r>
        <w:rPr>
          <w:b/>
          <w:bCs/>
          <w:color w:val="1F4E5F"/>
          <w:sz w:val="19"/>
          <w:szCs w:val="19"/>
        </w:rPr>
        <w:t xml:space="preserve">SOR — </w:t>
      </w:r>
      <w:r>
        <w:rPr>
          <w:sz w:val="19"/>
          <w:szCs w:val="19"/>
        </w:rPr>
        <w:t xml:space="preserve">Steam-to-Oil Ratio — barrels of steam per barrel of bitumen. The efficiency metric for thermal projects: roughly 2.5 to 3.0 is good, above 4 is poor. Compared across projects the way well cost is compared in a shale play.</w:t>
      </w:r>
    </w:p>
    <w:p>
      <w:pPr>
        <w:spacing w:after="90"/>
        <w:ind w:left="28"/>
      </w:pPr>
      <w:r>
        <w:rPr>
          <w:b/>
          <w:bCs/>
          <w:color w:val="1F4E5F"/>
          <w:sz w:val="19"/>
          <w:szCs w:val="19"/>
        </w:rPr>
        <w:t xml:space="preserve">Multilateral — </w:t>
      </w:r>
      <w:r>
        <w:rPr>
          <w:sz w:val="19"/>
          <w:szCs w:val="19"/>
        </w:rPr>
        <w:t xml:space="preserve">Several horizontal legs drilled from one wellbore, spreading a single surface location across much more reservoir. The reason Clearwater wells are so capital-efficient.</w:t>
      </w:r>
    </w:p>
    <w:p>
      <w:pPr>
        <w:pStyle w:val="Heading2"/>
        <w:spacing w:after="70" w:before="240"/>
      </w:pPr>
      <w:r>
        <w:rPr>
          <w:b/>
          <w:bCs/>
          <w:color w:val="1F4E5F"/>
          <w:sz w:val="23"/>
          <w:szCs w:val="23"/>
        </w:rPr>
        <w:t xml:space="preserve">Volumes and well metrics</w:t>
      </w:r>
    </w:p>
    <w:p>
      <w:pPr>
        <w:spacing w:after="90"/>
        <w:ind w:left="28"/>
      </w:pPr>
      <w:r>
        <w:rPr>
          <w:b/>
          <w:bCs/>
          <w:color w:val="1F4E5F"/>
          <w:sz w:val="19"/>
          <w:szCs w:val="19"/>
        </w:rPr>
        <w:t xml:space="preserve">BOE — </w:t>
      </w:r>
      <w:r>
        <w:rPr>
          <w:sz w:val="19"/>
          <w:szCs w:val="19"/>
        </w:rPr>
        <w:t xml:space="preserve">Barrel of Oil Equivalent, converting gas at 6 Mcf to 1 barrel. An energy equivalence, not an economic one — at roughly $70 oil and $2 gas a gas boe is worth a fraction of an oil boe, which is why gas-weighted names always screen cheap on EV/boe.</w:t>
      </w:r>
    </w:p>
    <w:p>
      <w:pPr>
        <w:spacing w:after="90"/>
        <w:ind w:left="28"/>
      </w:pPr>
      <w:r>
        <w:rPr>
          <w:b/>
          <w:bCs/>
          <w:color w:val="1F4E5F"/>
          <w:sz w:val="19"/>
          <w:szCs w:val="19"/>
        </w:rPr>
        <w:t xml:space="preserve">EUR — </w:t>
      </w:r>
      <w:r>
        <w:rPr>
          <w:sz w:val="19"/>
          <w:szCs w:val="19"/>
        </w:rPr>
        <w:t xml:space="preserve">Estimated Ultimate Recovery — everything a well will produce over its life. The number behind every type curve and NAV, and contested because it extrapolates decline decades past what has been observed. Cannot be derived from five years of production data; it comes from a reserve report.</w:t>
      </w:r>
    </w:p>
    <w:p>
      <w:pPr>
        <w:spacing w:after="90"/>
        <w:ind w:left="28"/>
      </w:pPr>
      <w:r>
        <w:rPr>
          <w:b/>
          <w:bCs/>
          <w:color w:val="1F4E5F"/>
          <w:sz w:val="19"/>
          <w:szCs w:val="19"/>
        </w:rPr>
        <w:t xml:space="preserve">IP30 / IP90 — </w:t>
      </w:r>
      <w:r>
        <w:rPr>
          <w:sz w:val="19"/>
          <w:szCs w:val="19"/>
        </w:rPr>
        <w:t xml:space="preserve">Initial production averaged over the first 30 or 90 days. The standard well-quality benchmark. Note the first partial month understates a well badly — use month one or a three-month average.</w:t>
      </w:r>
    </w:p>
    <w:p>
      <w:pPr>
        <w:spacing w:after="90"/>
        <w:ind w:left="28"/>
      </w:pPr>
      <w:r>
        <w:rPr>
          <w:b/>
          <w:bCs/>
          <w:color w:val="1F4E5F"/>
          <w:sz w:val="19"/>
          <w:szCs w:val="19"/>
        </w:rPr>
        <w:t xml:space="preserve">Base decline — </w:t>
      </w:r>
      <w:r>
        <w:rPr>
          <w:sz w:val="19"/>
          <w:szCs w:val="19"/>
        </w:rPr>
        <w:t xml:space="preserve">How fast existing production falls without new drilling. Alberta gas runs about 25% a year; SAGD thermal is nearer 5 to 10%. The gap is the whole low-sustaining-capital argument for thermal names.</w:t>
      </w:r>
    </w:p>
    <w:p>
      <w:pPr>
        <w:spacing w:after="90"/>
        <w:ind w:left="28"/>
      </w:pPr>
      <w:r>
        <w:rPr>
          <w:b/>
          <w:bCs/>
          <w:color w:val="1F4E5F"/>
          <w:sz w:val="19"/>
          <w:szCs w:val="19"/>
        </w:rPr>
        <w:t xml:space="preserve">TIL — </w:t>
      </w:r>
      <w:r>
        <w:rPr>
          <w:sz w:val="19"/>
          <w:szCs w:val="19"/>
        </w:rPr>
        <w:t xml:space="preserve">Turned In Line — a well brought onto production. "TIL count" is an activity measure.</w:t>
      </w:r>
    </w:p>
    <w:p>
      <w:pPr>
        <w:spacing w:after="90"/>
        <w:ind w:left="28"/>
      </w:pPr>
      <w:r>
        <w:rPr>
          <w:b/>
          <w:bCs/>
          <w:color w:val="1F4E5F"/>
          <w:sz w:val="19"/>
          <w:szCs w:val="19"/>
        </w:rPr>
        <w:t xml:space="preserve">DUC — </w:t>
      </w:r>
      <w:r>
        <w:rPr>
          <w:sz w:val="19"/>
          <w:szCs w:val="19"/>
        </w:rPr>
        <w:t xml:space="preserve">Drilled but UnCompleted. Inventory between drilling and production; operators can add supply by working down DUCs without drilling, so it is a swing factor.</w:t>
      </w:r>
    </w:p>
    <w:p>
      <w:pPr>
        <w:spacing w:after="90"/>
        <w:ind w:left="28"/>
      </w:pPr>
      <w:r>
        <w:rPr>
          <w:b/>
          <w:bCs/>
          <w:color w:val="1F4E5F"/>
          <w:sz w:val="19"/>
          <w:szCs w:val="19"/>
        </w:rPr>
        <w:t xml:space="preserve">Type curve — </w:t>
      </w:r>
      <w:r>
        <w:rPr>
          <w:sz w:val="19"/>
          <w:szCs w:val="19"/>
        </w:rPr>
        <w:t xml:space="preserve">The expected production profile of an average well in a play, used to forecast and to value undrilled locations.</w:t>
      </w:r>
    </w:p>
    <w:p>
      <w:pPr>
        <w:pStyle w:val="Heading2"/>
        <w:spacing w:after="70" w:before="240"/>
      </w:pPr>
      <w:r>
        <w:rPr>
          <w:b/>
          <w:bCs/>
          <w:color w:val="1F4E5F"/>
          <w:sz w:val="23"/>
          <w:szCs w:val="23"/>
        </w:rPr>
        <w:t xml:space="preserve">Products and benchmarks</w:t>
      </w:r>
    </w:p>
    <w:p>
      <w:pPr>
        <w:spacing w:after="90"/>
        <w:ind w:left="28"/>
      </w:pPr>
      <w:r>
        <w:rPr>
          <w:b/>
          <w:bCs/>
          <w:color w:val="1F4E5F"/>
          <w:sz w:val="19"/>
          <w:szCs w:val="19"/>
        </w:rPr>
        <w:t xml:space="preserve">WCS at Hardisty — </w:t>
      </w:r>
      <w:r>
        <w:rPr>
          <w:sz w:val="19"/>
          <w:szCs w:val="19"/>
        </w:rPr>
        <w:t xml:space="preserve">Western Canadian Select — the heavy blended barrel, and the benchmark for oil sands and heavy oil. Its differential to WTI is driven by egress, and TMX is what changed it.</w:t>
      </w:r>
    </w:p>
    <w:p>
      <w:pPr>
        <w:spacing w:after="90"/>
        <w:ind w:left="28"/>
      </w:pPr>
      <w:r>
        <w:rPr>
          <w:b/>
          <w:bCs/>
          <w:color w:val="1F4E5F"/>
          <w:sz w:val="19"/>
          <w:szCs w:val="19"/>
        </w:rPr>
        <w:t xml:space="preserve">MSW / Edmonton Par — </w:t>
      </w:r>
      <w:r>
        <w:rPr>
          <w:sz w:val="19"/>
          <w:szCs w:val="19"/>
        </w:rPr>
        <w:t xml:space="preserve">Edmonton Light Sweet, the Canadian light crude benchmark. Distinct from condensate despite both quoting at Edmonton.</w:t>
      </w:r>
    </w:p>
    <w:p>
      <w:pPr>
        <w:spacing w:after="90"/>
        <w:ind w:left="28"/>
      </w:pPr>
      <w:r>
        <w:rPr>
          <w:b/>
          <w:bCs/>
          <w:color w:val="1F4E5F"/>
          <w:sz w:val="19"/>
          <w:szCs w:val="19"/>
        </w:rPr>
        <w:t xml:space="preserve">C5+ at Edmonton — </w:t>
      </w:r>
      <w:r>
        <w:rPr>
          <w:sz w:val="19"/>
          <w:szCs w:val="19"/>
        </w:rPr>
        <w:t xml:space="preserve">Pentanes plus — condensate, quoted against WTI. Demand comes from diluent rather than refining, and Western Canada is short, importing via Cochin. Frequently trades at or above WTI, unusual for a Canadian barrel.</w:t>
      </w:r>
    </w:p>
    <w:p>
      <w:pPr>
        <w:spacing w:after="90"/>
        <w:ind w:left="28"/>
      </w:pPr>
      <w:r>
        <w:rPr>
          <w:b/>
          <w:bCs/>
          <w:color w:val="1F4E5F"/>
          <w:sz w:val="19"/>
          <w:szCs w:val="19"/>
        </w:rPr>
        <w:t xml:space="preserve">Dilbit / diluent — </w:t>
      </w:r>
      <w:r>
        <w:rPr>
          <w:sz w:val="19"/>
          <w:szCs w:val="19"/>
        </w:rPr>
        <w:t xml:space="preserve">Bitumen will not flow in a pipeline, so it is blended with roughly 25 to 30% condensate to make dilbit. This is the link between the Montney and the oil sands: condensate demand is a function of thermal growth.</w:t>
      </w:r>
    </w:p>
    <w:p>
      <w:pPr>
        <w:spacing w:after="90"/>
        <w:ind w:left="28"/>
      </w:pPr>
      <w:r>
        <w:rPr>
          <w:b/>
          <w:bCs/>
          <w:color w:val="1F4E5F"/>
          <w:sz w:val="19"/>
          <w:szCs w:val="19"/>
        </w:rPr>
        <w:t xml:space="preserve">AECO — </w:t>
      </w:r>
      <w:r>
        <w:rPr>
          <w:sz w:val="19"/>
          <w:szCs w:val="19"/>
        </w:rPr>
        <w:t xml:space="preserve">The Alberta gas hub, priced on NGTL. Station 2 is the northeast BC equivalent; Dawn is Ontario; Henry Hub is the US benchmark.</w:t>
      </w:r>
    </w:p>
    <w:p>
      <w:pPr>
        <w:spacing w:after="90"/>
        <w:ind w:left="28"/>
      </w:pPr>
      <w:r>
        <w:rPr>
          <w:b/>
          <w:bCs/>
          <w:color w:val="1F4E5F"/>
          <w:sz w:val="19"/>
          <w:szCs w:val="19"/>
        </w:rPr>
        <w:t xml:space="preserve">Basis — </w:t>
      </w:r>
      <w:r>
        <w:rPr>
          <w:sz w:val="19"/>
          <w:szCs w:val="19"/>
        </w:rPr>
        <w:t xml:space="preserve">The differential between two hubs — AECO to Henry Hub, say. Driven by pipeline constraint, which is why outages and capacity move it.</w:t>
      </w:r>
    </w:p>
    <w:p>
      <w:pPr>
        <w:pStyle w:val="Heading2"/>
        <w:spacing w:after="70" w:before="240"/>
      </w:pPr>
      <w:r>
        <w:rPr>
          <w:b/>
          <w:bCs/>
          <w:color w:val="1F4E5F"/>
          <w:sz w:val="23"/>
          <w:szCs w:val="23"/>
        </w:rPr>
        <w:t xml:space="preserve">Transport and projects</w:t>
      </w:r>
    </w:p>
    <w:p>
      <w:pPr>
        <w:spacing w:after="90"/>
        <w:ind w:left="28"/>
      </w:pPr>
      <w:r>
        <w:rPr>
          <w:b/>
          <w:bCs/>
          <w:color w:val="1F4E5F"/>
          <w:sz w:val="19"/>
          <w:szCs w:val="19"/>
        </w:rPr>
        <w:t xml:space="preserve">FT / IT — </w:t>
      </w:r>
      <w:r>
        <w:rPr>
          <w:sz w:val="19"/>
          <w:szCs w:val="19"/>
        </w:rPr>
        <w:t xml:space="preserve">Firm and Interruptible Transportation. Firm shippers hold contracted capacity; interruptible is curtailed first when a pipeline is constrained. FT-R is receipt-side, FT-D delivery-side.</w:t>
      </w:r>
    </w:p>
    <w:p>
      <w:pPr>
        <w:spacing w:after="90"/>
        <w:ind w:left="28"/>
      </w:pPr>
      <w:r>
        <w:rPr>
          <w:b/>
          <w:bCs/>
          <w:color w:val="1F4E5F"/>
          <w:sz w:val="19"/>
          <w:szCs w:val="19"/>
        </w:rPr>
        <w:t xml:space="preserve">FID — </w:t>
      </w:r>
      <w:r>
        <w:rPr>
          <w:sz w:val="19"/>
          <w:szCs w:val="19"/>
        </w:rPr>
        <w:t xml:space="preserve">Final Investment Decision — the point a project is sanctioned. Pre-FID projects are optionality; post-FID they belong in a supply forecast.</w:t>
      </w:r>
    </w:p>
    <w:p>
      <w:pPr>
        <w:spacing w:after="90"/>
        <w:ind w:left="28"/>
      </w:pPr>
      <w:r>
        <w:rPr>
          <w:b/>
          <w:bCs/>
          <w:color w:val="1F4E5F"/>
          <w:sz w:val="19"/>
          <w:szCs w:val="19"/>
        </w:rPr>
        <w:t xml:space="preserve">Egress — </w:t>
      </w:r>
      <w:r>
        <w:rPr>
          <w:sz w:val="19"/>
          <w:szCs w:val="19"/>
        </w:rPr>
        <w:t xml:space="preserve">Pipeline capacity out of the basin. The binding constraint on Canadian oil pricing, and the reason WCS trades at a differential at all.</w:t>
      </w:r>
    </w:p>
    <w:p>
      <w:pPr>
        <w:pStyle w:val="Heading2"/>
        <w:spacing w:after="70" w:before="240"/>
      </w:pPr>
      <w:r>
        <w:rPr>
          <w:b/>
          <w:bCs/>
          <w:color w:val="1F4E5F"/>
          <w:sz w:val="23"/>
          <w:szCs w:val="23"/>
        </w:rPr>
        <w:t xml:space="preserve">Valuation</w:t>
      </w:r>
    </w:p>
    <w:p>
      <w:pPr>
        <w:spacing w:after="90"/>
        <w:ind w:left="28"/>
      </w:pPr>
      <w:r>
        <w:rPr>
          <w:b/>
          <w:bCs/>
          <w:color w:val="1F4E5F"/>
          <w:sz w:val="19"/>
          <w:szCs w:val="19"/>
        </w:rPr>
        <w:t xml:space="preserve">EV/DACF — </w:t>
      </w:r>
      <w:r>
        <w:rPr>
          <w:sz w:val="19"/>
          <w:szCs w:val="19"/>
        </w:rPr>
        <w:t xml:space="preserve">Enterprise value to debt-adjusted cash flow. The Canadian standard because it neutralises leverage and capital structure across comparables.</w:t>
      </w:r>
    </w:p>
    <w:p>
      <w:pPr>
        <w:spacing w:after="90"/>
        <w:ind w:left="28"/>
      </w:pPr>
      <w:r>
        <w:rPr>
          <w:b/>
          <w:bCs/>
          <w:color w:val="1F4E5F"/>
          <w:sz w:val="19"/>
          <w:szCs w:val="19"/>
        </w:rPr>
        <w:t xml:space="preserve">NAV — </w:t>
      </w:r>
      <w:r>
        <w:rPr>
          <w:sz w:val="19"/>
          <w:szCs w:val="19"/>
        </w:rPr>
        <w:t xml:space="preserve">Net asset value, usually the PV-10 of 2P reserves. Forces engagement with decline, reserve life and the price deck.</w:t>
      </w:r>
    </w:p>
    <w:p>
      <w:pPr>
        <w:spacing w:after="90"/>
        <w:ind w:left="28"/>
      </w:pPr>
      <w:r>
        <w:rPr>
          <w:b/>
          <w:bCs/>
          <w:color w:val="1F4E5F"/>
          <w:sz w:val="19"/>
          <w:szCs w:val="19"/>
        </w:rPr>
        <w:t xml:space="preserve">$/flowing barrel — </w:t>
      </w:r>
      <w:r>
        <w:rPr>
          <w:sz w:val="19"/>
          <w:szCs w:val="19"/>
        </w:rPr>
        <w:t xml:space="preserve">EV divided by current daily production. Standard for transaction comps, and misleading twice over: it ignores the 6:1 boe distortion and ignores decline, so two companies at the same $/flowing can have completely different sustaining capital.</w:t>
      </w:r>
    </w:p>
    <w:p>
      <w:pPr>
        <w:spacing w:after="90"/>
        <w:ind w:left="28"/>
      </w:pPr>
      <w:r>
        <w:rPr>
          <w:b/>
          <w:bCs/>
          <w:color w:val="1F4E5F"/>
          <w:sz w:val="19"/>
          <w:szCs w:val="19"/>
        </w:rPr>
        <w:t xml:space="preserve">Netback — </w:t>
      </w:r>
      <w:r>
        <w:rPr>
          <w:sz w:val="19"/>
          <w:szCs w:val="19"/>
        </w:rPr>
        <w:t xml:space="preserve">Realised price less transport, royalties and operating cost — what the producer actually keeps per barrel.</w:t>
      </w:r>
    </w:p>
    <w:p>
      <w:pPr>
        <w:spacing w:after="90"/>
        <w:ind w:left="28"/>
      </w:pPr>
      <w:r>
        <w:rPr>
          <w:b/>
          <w:bCs/>
          <w:color w:val="1F4E5F"/>
          <w:sz w:val="19"/>
          <w:szCs w:val="19"/>
        </w:rPr>
        <w:t xml:space="preserve">F&amp;D / recycle ratio — </w:t>
      </w:r>
      <w:r>
        <w:rPr>
          <w:sz w:val="19"/>
          <w:szCs w:val="19"/>
        </w:rPr>
        <w:t xml:space="preserve">Finding and development cost per boe; the recycle ratio is netback divided by F&amp;D, a measure of capital efficiency.</w:t>
      </w:r>
    </w:p>
    <w:p>
      <w:pPr>
        <w:pStyle w:val="Heading1"/>
        <w:pBdr>
          <w:bottom w:val="single" w:color="D5DBE0" w:sz="6"/>
        </w:pBdr>
        <w:spacing w:after="130" w:before="340"/>
      </w:pPr>
      <w:r>
        <w:rPr>
          <w:b/>
          <w:bCs/>
          <w:color w:val="1F4E5F"/>
          <w:sz w:val="28"/>
          <w:szCs w:val="28"/>
        </w:rPr>
        <w:t xml:space="preserve">Two things most candidates cannot say</w:t>
      </w:r>
    </w:p>
    <w:p>
      <w:pPr>
        <w:spacing w:after="110"/>
      </w:pPr>
      <w:r>
        <w:rPr>
          <w:b/>
          <w:bCs/>
          <w:sz w:val="19"/>
          <w:szCs w:val="19"/>
        </w:rPr>
        <w:t xml:space="preserve">Alberta gas runs a 25% base decline. </w:t>
      </w:r>
      <w:r>
        <w:rPr>
          <w:sz w:val="19"/>
          <w:szCs w:val="19"/>
        </w:rPr>
        <w:t xml:space="preserve">Wells producing a year ago make 3.2 Bcf/d less today. New wells added 3.7 Bcf/d, holding the province roughly flat at 13.2 Bcf/d. Wells under three years old are 82% of supply.</w:t>
      </w:r>
    </w:p>
    <w:p>
      <w:pPr>
        <w:spacing w:after="110"/>
      </w:pPr>
      <w:r>
        <w:rPr>
          <w:b/>
          <w:bCs/>
          <w:sz w:val="19"/>
          <w:szCs w:val="19"/>
        </w:rPr>
        <w:t xml:space="preserve">Horizontal well productivity peaked in 2024. </w:t>
      </w:r>
      <w:r>
        <w:rPr>
          <w:sz w:val="19"/>
          <w:szCs w:val="19"/>
        </w:rPr>
        <w:t xml:space="preserve">Measured at the same month of life, restricted to wells that ever exceed 1 MMcf/d, the 2024 cohort beats 2025 at every age. The basin holds production by drilling more wells, not better ones — which makes supply more sensitive to a capital pullback than a flat production line suggests.</w:t>
      </w:r>
    </w:p>
    <w:p>
      <w:pPr>
        <w:spacing w:after="110"/>
      </w:pPr>
      <w:r>
        <w:rPr>
          <w:i/>
          <w:iCs/>
          <w:sz w:val="19"/>
          <w:szCs w:val="19"/>
        </w:rPr>
        <w:t xml:space="preserve">Both are derived from well-level data, and both are falsifiable.</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2026-08-23T22:40:05.800Z</dcterms:created>
  <dcterms:modified xsi:type="dcterms:W3CDTF">2026-08-23T22:40:05.800Z</dcterms:modified>
</cp:coreProperties>
</file>

<file path=docProps/custom.xml><?xml version="1.0" encoding="utf-8"?>
<Properties xmlns="http://schemas.openxmlformats.org/officeDocument/2006/custom-properties" xmlns:vt="http://schemas.openxmlformats.org/officeDocument/2006/docPropsVTypes"/>
</file>