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Bdr>
          <w:bottom w:val="single" w:sz="8" w:color="1F4E79" w:space="4"/>
        </w:pBdr>
      </w:pPr>
      <w:r>
        <w:t>Massive campaign guide</w:t>
      </w:r>
    </w:p>
    <w:p>
      <w:pPr>
        <w:pStyle w:val="Heading2"/>
      </w:pPr>
      <w:r>
        <w:t>Decision and scientific status</w:t>
      </w:r>
    </w:p>
    <w:p>
      <w:r>
        <w:rPr>
          <w:rFonts w:ascii="Consolas" w:hAnsi="Consolas"/>
          <w:color w:val="1F2937"/>
          <w:sz w:val="19"/>
        </w:rPr>
        <w:t>campaign_05_massive_release</w:t>
      </w:r>
      <w:r>
        <w:t xml:space="preserve"> is a byte-frozen </w:t>
      </w:r>
      <w:r>
        <w:rPr>
          <w:b/>
        </w:rPr>
        <w:t>candidate reference and robustness campaign</w:t>
      </w:r>
      <w:r>
        <w:t xml:space="preserve">, not yet the final multi-backend scientific campaign. Its immutable scenarios all use Whisper Base on CPU with full-record input. That is useful for a broad reference surface, but it cannot answer which VAD, ASR, embedding, matcher, or diarization backend is best. The component canary, small gate, standard gate, and screening-based finalist freeze must occur before this candidate is authorized—or it must be regenerated with the approved finalists. Current launch verdict: </w:t>
      </w:r>
      <w:r>
        <w:rPr>
          <w:rFonts w:ascii="Consolas" w:hAnsi="Consolas"/>
          <w:color w:val="1F2937"/>
          <w:sz w:val="19"/>
        </w:rPr>
        <w:t>NOT_READY_TO_LAUNCH</w:t>
      </w:r>
      <w:r>
        <w:t>.</w:t>
      </w:r>
    </w:p>
    <w:p>
      <w:pPr>
        <w:pStyle w:val="Heading2"/>
      </w:pPr>
      <w:r>
        <w:t>Frozen identity and scale</w:t>
      </w:r>
    </w:p>
    <w:tbl>
      <w:tblPr>
        <w:tblW w:type="auto" w:w="0"/>
        <w:jc w:val="center"/>
        <w:tblLayout w:type="autofit"/>
        <w:tblLook w:firstColumn="1" w:firstRow="1" w:lastColumn="0" w:lastRow="0" w:noHBand="0" w:noVBand="1" w:val="04A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Pr>
      <w:tblGrid>
        <w:gridCol w:w="5083"/>
        <w:gridCol w:w="5083"/>
      </w:tblGrid>
      <w:tr>
        <w:trPr>
          <w:tblHeader w:val="true"/>
        </w:trPr>
        <w:tc>
          <w:tcPr>
            <w:tcW w:type="dxa" w:w="5083"/>
            <w:vAlign w:val="center"/>
            <w:tcMar>
              <w:top w:w="70" w:type="dxa"/>
              <w:start w:w="80" w:type="dxa"/>
              <w:bottom w:w="70" w:type="dxa"/>
              <w:end w:w="80" w:type="dxa"/>
            </w:tcMar>
            <w:shd w:fill="EAF1F8"/>
          </w:tcPr>
          <w:p>
            <w:pPr>
              <w:spacing w:after="0" w:line="240" w:lineRule="auto"/>
            </w:pPr>
            <w:r>
              <w:rPr>
                <w:b/>
                <w:color w:val="1F4E79"/>
                <w:sz w:val="17"/>
              </w:rPr>
              <w:t>Contract</w:t>
            </w:r>
          </w:p>
        </w:tc>
        <w:tc>
          <w:tcPr>
            <w:tcW w:type="dxa" w:w="5083"/>
            <w:vAlign w:val="center"/>
            <w:tcMar>
              <w:top w:w="70" w:type="dxa"/>
              <w:start w:w="80" w:type="dxa"/>
              <w:bottom w:w="70" w:type="dxa"/>
              <w:end w:w="80" w:type="dxa"/>
            </w:tcMar>
            <w:shd w:fill="EAF1F8"/>
          </w:tcPr>
          <w:p>
            <w:pPr>
              <w:spacing w:after="0" w:line="240" w:lineRule="auto"/>
            </w:pPr>
            <w:r>
              <w:rPr>
                <w:b/>
                <w:color w:val="1F4E79"/>
                <w:sz w:val="17"/>
              </w:rPr>
              <w:t>Value</w:t>
            </w:r>
          </w:p>
        </w:tc>
      </w:tr>
      <w:tr>
        <w:tc>
          <w:tcPr>
            <w:tcW w:type="dxa" w:w="5083"/>
            <w:vAlign w:val="center"/>
            <w:tcMar>
              <w:top w:w="70" w:type="dxa"/>
              <w:start w:w="80" w:type="dxa"/>
              <w:bottom w:w="70" w:type="dxa"/>
              <w:end w:w="80" w:type="dxa"/>
            </w:tcMar>
          </w:tcPr>
          <w:p>
            <w:pPr>
              <w:spacing w:after="0" w:line="240" w:lineRule="auto"/>
            </w:pPr>
            <w:r>
              <w:rPr>
                <w:sz w:val="17"/>
              </w:rPr>
              <w:t>Campaign</w:t>
            </w:r>
          </w:p>
        </w:tc>
        <w:tc>
          <w:tcPr>
            <w:tcW w:type="dxa" w:w="5083"/>
            <w:vAlign w:val="center"/>
            <w:tcMar>
              <w:top w:w="70" w:type="dxa"/>
              <w:start w:w="80" w:type="dxa"/>
              <w:bottom w:w="70" w:type="dxa"/>
              <w:end w:w="80" w:type="dxa"/>
            </w:tcMar>
          </w:tcPr>
          <w:p>
            <w:pPr>
              <w:spacing w:after="0" w:line="240" w:lineRule="auto"/>
            </w:pPr>
            <w:r>
              <w:rPr>
                <w:rFonts w:ascii="Consolas" w:hAnsi="Consolas"/>
                <w:color w:val="1F2937"/>
                <w:sz w:val="17"/>
              </w:rPr>
              <w:t>campaign_05_massive_release</w:t>
            </w:r>
          </w:p>
        </w:tc>
      </w:tr>
      <w:tr>
        <w:tc>
          <w:tcPr>
            <w:tcW w:type="dxa" w:w="5083"/>
            <w:vAlign w:val="center"/>
            <w:tcMar>
              <w:top w:w="70" w:type="dxa"/>
              <w:start w:w="80" w:type="dxa"/>
              <w:bottom w:w="70" w:type="dxa"/>
              <w:end w:w="80" w:type="dxa"/>
            </w:tcMar>
          </w:tcPr>
          <w:p>
            <w:pPr>
              <w:spacing w:after="0" w:line="240" w:lineRule="auto"/>
            </w:pPr>
            <w:r>
              <w:rPr>
                <w:sz w:val="17"/>
              </w:rPr>
              <w:t>Campaign manifest SHA-256</w:t>
            </w:r>
          </w:p>
        </w:tc>
        <w:tc>
          <w:tcPr>
            <w:tcW w:type="dxa" w:w="5083"/>
            <w:vAlign w:val="center"/>
            <w:tcMar>
              <w:top w:w="70" w:type="dxa"/>
              <w:start w:w="80" w:type="dxa"/>
              <w:bottom w:w="70" w:type="dxa"/>
              <w:end w:w="80" w:type="dxa"/>
            </w:tcMar>
          </w:tcPr>
          <w:p>
            <w:pPr>
              <w:spacing w:after="0" w:line="240" w:lineRule="auto"/>
            </w:pPr>
            <w:r>
              <w:rPr>
                <w:rFonts w:ascii="Consolas" w:hAnsi="Consolas"/>
                <w:color w:val="1F2937"/>
                <w:sz w:val="17"/>
              </w:rPr>
              <w:t>FF833023B2CBFCC58C4CB65038BBF97A4A791296BE8AC7C09B6AA948C66046D4</w:t>
            </w:r>
          </w:p>
        </w:tc>
      </w:tr>
      <w:tr>
        <w:tc>
          <w:tcPr>
            <w:tcW w:type="dxa" w:w="5083"/>
            <w:vAlign w:val="center"/>
            <w:tcMar>
              <w:top w:w="70" w:type="dxa"/>
              <w:start w:w="80" w:type="dxa"/>
              <w:bottom w:w="70" w:type="dxa"/>
              <w:end w:w="80" w:type="dxa"/>
            </w:tcMar>
          </w:tcPr>
          <w:p>
            <w:pPr>
              <w:spacing w:after="0" w:line="240" w:lineRule="auto"/>
            </w:pPr>
            <w:r>
              <w:rPr>
                <w:sz w:val="17"/>
              </w:rPr>
              <w:t>Scenario catalog SHA-256</w:t>
            </w:r>
          </w:p>
        </w:tc>
        <w:tc>
          <w:tcPr>
            <w:tcW w:type="dxa" w:w="5083"/>
            <w:vAlign w:val="center"/>
            <w:tcMar>
              <w:top w:w="70" w:type="dxa"/>
              <w:start w:w="80" w:type="dxa"/>
              <w:bottom w:w="70" w:type="dxa"/>
              <w:end w:w="80" w:type="dxa"/>
            </w:tcMar>
          </w:tcPr>
          <w:p>
            <w:pPr>
              <w:spacing w:after="0" w:line="240" w:lineRule="auto"/>
            </w:pPr>
            <w:r>
              <w:rPr>
                <w:rFonts w:ascii="Consolas" w:hAnsi="Consolas"/>
                <w:color w:val="1F2937"/>
                <w:sz w:val="17"/>
              </w:rPr>
              <w:t>24AD135F8F2F2450EED78D910727FC63B585958602D28429B3B46B5A1060367E</w:t>
            </w:r>
          </w:p>
        </w:tc>
      </w:tr>
      <w:tr>
        <w:tc>
          <w:tcPr>
            <w:tcW w:type="dxa" w:w="5083"/>
            <w:vAlign w:val="center"/>
            <w:tcMar>
              <w:top w:w="70" w:type="dxa"/>
              <w:start w:w="80" w:type="dxa"/>
              <w:bottom w:w="70" w:type="dxa"/>
              <w:end w:w="80" w:type="dxa"/>
            </w:tcMar>
          </w:tcPr>
          <w:p>
            <w:pPr>
              <w:spacing w:after="0" w:line="240" w:lineRule="auto"/>
            </w:pPr>
            <w:r>
              <w:rPr>
                <w:sz w:val="17"/>
              </w:rPr>
              <w:t>Large benchmark SHA-256</w:t>
            </w:r>
          </w:p>
        </w:tc>
        <w:tc>
          <w:tcPr>
            <w:tcW w:type="dxa" w:w="5083"/>
            <w:vAlign w:val="center"/>
            <w:tcMar>
              <w:top w:w="70" w:type="dxa"/>
              <w:start w:w="80" w:type="dxa"/>
              <w:bottom w:w="70" w:type="dxa"/>
              <w:end w:w="80" w:type="dxa"/>
            </w:tcMar>
          </w:tcPr>
          <w:p>
            <w:pPr>
              <w:spacing w:after="0" w:line="240" w:lineRule="auto"/>
            </w:pPr>
            <w:r>
              <w:rPr>
                <w:rFonts w:ascii="Consolas" w:hAnsi="Consolas"/>
                <w:color w:val="1F2937"/>
                <w:sz w:val="17"/>
              </w:rPr>
              <w:t>BC207E61B82052F06CCB9FFFE038B6DFE7B1C65C21843D08905946114238DE88</w:t>
            </w:r>
          </w:p>
        </w:tc>
      </w:tr>
      <w:tr>
        <w:tc>
          <w:tcPr>
            <w:tcW w:type="dxa" w:w="5083"/>
            <w:vAlign w:val="center"/>
            <w:tcMar>
              <w:top w:w="70" w:type="dxa"/>
              <w:start w:w="80" w:type="dxa"/>
              <w:bottom w:w="70" w:type="dxa"/>
              <w:end w:w="80" w:type="dxa"/>
            </w:tcMar>
          </w:tcPr>
          <w:p>
            <w:pPr>
              <w:spacing w:after="0" w:line="240" w:lineRule="auto"/>
            </w:pPr>
            <w:r>
              <w:rPr>
                <w:sz w:val="17"/>
              </w:rPr>
              <w:t>Speaker protocol SHA-256</w:t>
            </w:r>
          </w:p>
        </w:tc>
        <w:tc>
          <w:tcPr>
            <w:tcW w:type="dxa" w:w="5083"/>
            <w:vAlign w:val="center"/>
            <w:tcMar>
              <w:top w:w="70" w:type="dxa"/>
              <w:start w:w="80" w:type="dxa"/>
              <w:bottom w:w="70" w:type="dxa"/>
              <w:end w:w="80" w:type="dxa"/>
            </w:tcMar>
          </w:tcPr>
          <w:p>
            <w:pPr>
              <w:spacing w:after="0" w:line="240" w:lineRule="auto"/>
            </w:pPr>
            <w:r>
              <w:rPr>
                <w:rFonts w:ascii="Consolas" w:hAnsi="Consolas"/>
                <w:color w:val="1F2937"/>
                <w:sz w:val="17"/>
              </w:rPr>
              <w:t>A9B0B28F5C7FDEF51215069521215BB78598DB9497E40BDA6C893181F71288D4</w:t>
            </w:r>
          </w:p>
        </w:tc>
      </w:tr>
      <w:tr>
        <w:tc>
          <w:tcPr>
            <w:tcW w:type="dxa" w:w="5083"/>
            <w:vAlign w:val="center"/>
            <w:tcMar>
              <w:top w:w="70" w:type="dxa"/>
              <w:start w:w="80" w:type="dxa"/>
              <w:bottom w:w="70" w:type="dxa"/>
              <w:end w:w="80" w:type="dxa"/>
            </w:tcMar>
          </w:tcPr>
          <w:p>
            <w:pPr>
              <w:spacing w:after="0" w:line="240" w:lineRule="auto"/>
            </w:pPr>
            <w:r>
              <w:rPr>
                <w:sz w:val="17"/>
              </w:rPr>
              <w:t>Tier / seed</w:t>
            </w:r>
          </w:p>
        </w:tc>
        <w:tc>
          <w:tcPr>
            <w:tcW w:type="dxa" w:w="5083"/>
            <w:vAlign w:val="center"/>
            <w:tcMar>
              <w:top w:w="70" w:type="dxa"/>
              <w:start w:w="80" w:type="dxa"/>
              <w:bottom w:w="70" w:type="dxa"/>
              <w:end w:w="80" w:type="dxa"/>
            </w:tcMar>
          </w:tcPr>
          <w:p>
            <w:pPr>
              <w:spacing w:after="0" w:line="240" w:lineRule="auto"/>
            </w:pPr>
            <w:r>
              <w:rPr>
                <w:rFonts w:ascii="Consolas" w:hAnsi="Consolas"/>
                <w:color w:val="1F2937"/>
                <w:sz w:val="17"/>
              </w:rPr>
              <w:t>large</w:t>
            </w:r>
            <w:r>
              <w:rPr>
                <w:sz w:val="17"/>
              </w:rPr>
              <w:t xml:space="preserve"> / 3800</w:t>
            </w:r>
          </w:p>
        </w:tc>
      </w:tr>
      <w:tr>
        <w:tc>
          <w:tcPr>
            <w:tcW w:type="dxa" w:w="5083"/>
            <w:vAlign w:val="center"/>
            <w:tcMar>
              <w:top w:w="70" w:type="dxa"/>
              <w:start w:w="80" w:type="dxa"/>
              <w:bottom w:w="70" w:type="dxa"/>
              <w:end w:w="80" w:type="dxa"/>
            </w:tcMar>
          </w:tcPr>
          <w:p>
            <w:pPr>
              <w:spacing w:after="0" w:line="240" w:lineRule="auto"/>
            </w:pPr>
            <w:r>
              <w:rPr>
                <w:sz w:val="17"/>
              </w:rPr>
              <w:t>Scenarios</w:t>
            </w:r>
          </w:p>
        </w:tc>
        <w:tc>
          <w:tcPr>
            <w:tcW w:type="dxa" w:w="5083"/>
            <w:vAlign w:val="center"/>
            <w:tcMar>
              <w:top w:w="70" w:type="dxa"/>
              <w:start w:w="80" w:type="dxa"/>
              <w:bottom w:w="70" w:type="dxa"/>
              <w:end w:w="80" w:type="dxa"/>
            </w:tcMar>
          </w:tcPr>
          <w:p>
            <w:pPr>
              <w:spacing w:after="0" w:line="240" w:lineRule="auto"/>
            </w:pPr>
            <w:r>
              <w:rPr>
                <w:sz w:val="17"/>
              </w:rPr>
              <w:t>41</w:t>
            </w:r>
          </w:p>
        </w:tc>
      </w:tr>
      <w:tr>
        <w:tc>
          <w:tcPr>
            <w:tcW w:type="dxa" w:w="5083"/>
            <w:vAlign w:val="center"/>
            <w:tcMar>
              <w:top w:w="70" w:type="dxa"/>
              <w:start w:w="80" w:type="dxa"/>
              <w:bottom w:w="70" w:type="dxa"/>
              <w:end w:w="80" w:type="dxa"/>
            </w:tcMar>
          </w:tcPr>
          <w:p>
            <w:pPr>
              <w:spacing w:after="0" w:line="240" w:lineRule="auto"/>
            </w:pPr>
            <w:r>
              <w:rPr>
                <w:sz w:val="17"/>
              </w:rPr>
              <w:t>Scenario-item executions</w:t>
            </w:r>
          </w:p>
        </w:tc>
        <w:tc>
          <w:tcPr>
            <w:tcW w:type="dxa" w:w="5083"/>
            <w:vAlign w:val="center"/>
            <w:tcMar>
              <w:top w:w="70" w:type="dxa"/>
              <w:start w:w="80" w:type="dxa"/>
              <w:bottom w:w="70" w:type="dxa"/>
              <w:end w:w="80" w:type="dxa"/>
            </w:tcMar>
          </w:tcPr>
          <w:p>
            <w:pPr>
              <w:spacing w:after="0" w:line="240" w:lineRule="auto"/>
            </w:pPr>
            <w:r>
              <w:rPr>
                <w:sz w:val="17"/>
              </w:rPr>
              <w:t>25,798</w:t>
            </w:r>
          </w:p>
        </w:tc>
      </w:tr>
      <w:tr>
        <w:tc>
          <w:tcPr>
            <w:tcW w:type="dxa" w:w="5083"/>
            <w:vAlign w:val="center"/>
            <w:tcMar>
              <w:top w:w="70" w:type="dxa"/>
              <w:start w:w="80" w:type="dxa"/>
              <w:bottom w:w="70" w:type="dxa"/>
              <w:end w:w="80" w:type="dxa"/>
            </w:tcMar>
          </w:tcPr>
          <w:p>
            <w:pPr>
              <w:spacing w:after="0" w:line="240" w:lineRule="auto"/>
            </w:pPr>
            <w:r>
              <w:rPr>
                <w:sz w:val="17"/>
              </w:rPr>
              <w:t>Repeated audio</w:t>
            </w:r>
          </w:p>
        </w:tc>
        <w:tc>
          <w:tcPr>
            <w:tcW w:type="dxa" w:w="5083"/>
            <w:vAlign w:val="center"/>
            <w:tcMar>
              <w:top w:w="70" w:type="dxa"/>
              <w:start w:w="80" w:type="dxa"/>
              <w:bottom w:w="70" w:type="dxa"/>
              <w:end w:w="80" w:type="dxa"/>
            </w:tcMar>
          </w:tcPr>
          <w:p>
            <w:pPr>
              <w:spacing w:after="0" w:line="240" w:lineRule="auto"/>
            </w:pPr>
            <w:r>
              <w:rPr>
                <w:sz w:val="17"/>
              </w:rPr>
              <w:t>33.720121 hours</w:t>
            </w:r>
          </w:p>
        </w:tc>
      </w:tr>
      <w:tr>
        <w:tc>
          <w:tcPr>
            <w:tcW w:type="dxa" w:w="5083"/>
            <w:vAlign w:val="center"/>
            <w:tcMar>
              <w:top w:w="70" w:type="dxa"/>
              <w:start w:w="80" w:type="dxa"/>
              <w:bottom w:w="70" w:type="dxa"/>
              <w:end w:w="80" w:type="dxa"/>
            </w:tcMar>
          </w:tcPr>
          <w:p>
            <w:pPr>
              <w:spacing w:after="0" w:line="240" w:lineRule="auto"/>
            </w:pPr>
            <w:r>
              <w:rPr>
                <w:sz w:val="17"/>
              </w:rPr>
              <w:t>Unique source rows / audio</w:t>
            </w:r>
          </w:p>
        </w:tc>
        <w:tc>
          <w:tcPr>
            <w:tcW w:type="dxa" w:w="5083"/>
            <w:vAlign w:val="center"/>
            <w:tcMar>
              <w:top w:w="70" w:type="dxa"/>
              <w:start w:w="80" w:type="dxa"/>
              <w:bottom w:w="70" w:type="dxa"/>
              <w:end w:w="80" w:type="dxa"/>
            </w:tcMar>
          </w:tcPr>
          <w:p>
            <w:pPr>
              <w:spacing w:after="0" w:line="240" w:lineRule="auto"/>
            </w:pPr>
            <w:r>
              <w:rPr>
                <w:sz w:val="17"/>
              </w:rPr>
              <w:t>8,258 / 10.804780 hours</w:t>
            </w:r>
          </w:p>
        </w:tc>
      </w:tr>
      <w:tr>
        <w:tc>
          <w:tcPr>
            <w:tcW w:type="dxa" w:w="5083"/>
            <w:vAlign w:val="center"/>
            <w:tcMar>
              <w:top w:w="70" w:type="dxa"/>
              <w:start w:w="80" w:type="dxa"/>
              <w:bottom w:w="70" w:type="dxa"/>
              <w:end w:w="80" w:type="dxa"/>
            </w:tcMar>
          </w:tcPr>
          <w:p>
            <w:pPr>
              <w:spacing w:after="0" w:line="240" w:lineRule="auto"/>
            </w:pPr>
            <w:r>
              <w:rPr>
                <w:sz w:val="17"/>
              </w:rPr>
              <w:t>Repetition</w:t>
            </w:r>
          </w:p>
        </w:tc>
        <w:tc>
          <w:tcPr>
            <w:tcW w:type="dxa" w:w="5083"/>
            <w:vAlign w:val="center"/>
            <w:tcMar>
              <w:top w:w="70" w:type="dxa"/>
              <w:start w:w="80" w:type="dxa"/>
              <w:bottom w:w="70" w:type="dxa"/>
              <w:end w:w="80" w:type="dxa"/>
            </w:tcMar>
          </w:tcPr>
          <w:p>
            <w:pPr>
              <w:spacing w:after="0" w:line="240" w:lineRule="auto"/>
            </w:pPr>
            <w:r>
              <w:rPr>
                <w:sz w:val="17"/>
              </w:rPr>
              <w:t>1 for every candidate scenario</w:t>
            </w:r>
          </w:p>
        </w:tc>
      </w:tr>
      <w:tr>
        <w:tc>
          <w:tcPr>
            <w:tcW w:type="dxa" w:w="5083"/>
            <w:vAlign w:val="center"/>
            <w:tcMar>
              <w:top w:w="70" w:type="dxa"/>
              <w:start w:w="80" w:type="dxa"/>
              <w:bottom w:w="70" w:type="dxa"/>
              <w:end w:w="80" w:type="dxa"/>
            </w:tcMar>
          </w:tcPr>
          <w:p>
            <w:pPr>
              <w:spacing w:after="0" w:line="240" w:lineRule="auto"/>
            </w:pPr>
            <w:r>
              <w:rPr>
                <w:sz w:val="17"/>
              </w:rPr>
              <w:t>Runtime</w:t>
            </w:r>
          </w:p>
        </w:tc>
        <w:tc>
          <w:tcPr>
            <w:tcW w:type="dxa" w:w="5083"/>
            <w:vAlign w:val="center"/>
            <w:tcMar>
              <w:top w:w="70" w:type="dxa"/>
              <w:start w:w="80" w:type="dxa"/>
              <w:bottom w:w="70" w:type="dxa"/>
              <w:end w:w="80" w:type="dxa"/>
            </w:tcMar>
          </w:tcPr>
          <w:p>
            <w:pPr>
              <w:spacing w:after="0" w:line="240" w:lineRule="auto"/>
            </w:pPr>
            <w:r>
              <w:rPr>
                <w:rFonts w:ascii="Consolas" w:hAnsi="Consolas"/>
                <w:color w:val="1F2937"/>
                <w:sz w:val="17"/>
              </w:rPr>
              <w:t>core-cpu</w:t>
            </w:r>
            <w:r>
              <w:rPr>
                <w:sz w:val="17"/>
              </w:rPr>
              <w:t>, CPU, float32, batch 1, one thread, one scenario per machine</w:t>
            </w:r>
          </w:p>
        </w:tc>
      </w:tr>
      <w:tr>
        <w:tc>
          <w:tcPr>
            <w:tcW w:type="dxa" w:w="5083"/>
            <w:vAlign w:val="center"/>
            <w:tcMar>
              <w:top w:w="70" w:type="dxa"/>
              <w:start w:w="80" w:type="dxa"/>
              <w:bottom w:w="70" w:type="dxa"/>
              <w:end w:w="80" w:type="dxa"/>
            </w:tcMar>
          </w:tcPr>
          <w:p>
            <w:pPr>
              <w:spacing w:after="0" w:line="240" w:lineRule="auto"/>
            </w:pPr>
            <w:r>
              <w:rPr>
                <w:sz w:val="17"/>
              </w:rPr>
              <w:t>Scoring</w:t>
            </w:r>
          </w:p>
        </w:tc>
        <w:tc>
          <w:tcPr>
            <w:tcW w:type="dxa" w:w="5083"/>
            <w:vAlign w:val="center"/>
            <w:tcMar>
              <w:top w:w="70" w:type="dxa"/>
              <w:start w:w="80" w:type="dxa"/>
              <w:bottom w:w="70" w:type="dxa"/>
              <w:end w:w="80" w:type="dxa"/>
            </w:tcMar>
          </w:tcPr>
          <w:p>
            <w:pPr>
              <w:spacing w:after="0" w:line="240" w:lineRule="auto"/>
            </w:pPr>
            <w:r>
              <w:rPr>
                <w:rFonts w:ascii="Consolas" w:hAnsi="Consolas"/>
                <w:color w:val="1F2937"/>
                <w:sz w:val="17"/>
              </w:rPr>
              <w:t>scoring-policy.v1</w:t>
            </w:r>
            <w:r>
              <w:rPr>
                <w:sz w:val="17"/>
              </w:rPr>
              <w:t>; missing/failed outputs remain visible</w:t>
            </w:r>
          </w:p>
        </w:tc>
      </w:tr>
      <w:tr>
        <w:tc>
          <w:tcPr>
            <w:tcW w:type="dxa" w:w="5083"/>
            <w:vAlign w:val="center"/>
            <w:tcMar>
              <w:top w:w="70" w:type="dxa"/>
              <w:start w:w="80" w:type="dxa"/>
              <w:bottom w:w="70" w:type="dxa"/>
              <w:end w:w="80" w:type="dxa"/>
            </w:tcMar>
          </w:tcPr>
          <w:p>
            <w:pPr>
              <w:spacing w:after="0" w:line="240" w:lineRule="auto"/>
            </w:pPr>
            <w:r>
              <w:rPr>
                <w:sz w:val="17"/>
              </w:rPr>
              <w:t>Downloads</w:t>
            </w:r>
          </w:p>
        </w:tc>
        <w:tc>
          <w:tcPr>
            <w:tcW w:type="dxa" w:w="5083"/>
            <w:vAlign w:val="center"/>
            <w:tcMar>
              <w:top w:w="70" w:type="dxa"/>
              <w:start w:w="80" w:type="dxa"/>
              <w:bottom w:w="70" w:type="dxa"/>
              <w:end w:w="80" w:type="dxa"/>
            </w:tcMar>
          </w:tcPr>
          <w:p>
            <w:pPr>
              <w:spacing w:after="0" w:line="240" w:lineRule="auto"/>
            </w:pPr>
            <w:r>
              <w:rPr>
                <w:rFonts w:ascii="Consolas" w:hAnsi="Consolas"/>
                <w:color w:val="1F2937"/>
                <w:sz w:val="17"/>
              </w:rPr>
              <w:t>allow_model_downloads=false</w:t>
            </w:r>
          </w:p>
        </w:tc>
      </w:tr>
    </w:tbl>
    <w:p>
      <w:pPr>
        <w:spacing w:after="20"/>
      </w:pPr>
    </w:p>
    <w:p>
      <w:pPr>
        <w:pStyle w:val="Heading2"/>
      </w:pPr>
      <w:r>
        <w:t>Research questions this candidate can answer</w:t>
      </w:r>
    </w:p>
    <w:p>
      <w:pPr>
        <w:pStyle w:val="ListNumber"/>
      </w:pPr>
      <w:r>
        <w:t>What is the fixed Whisper Base full-record ASR baseline across the large</w:t>
      </w:r>
    </w:p>
    <w:p>
      <w:r>
        <w:t>controlled, native, and speaker-protocol source selections?</w:t>
      </w:r>
    </w:p>
    <w:p>
      <w:pPr>
        <w:pStyle w:val="ListNumber"/>
      </w:pPr>
      <w:r>
        <w:t>How does that same pipeline's WER/CER and reliability change under approved</w:t>
      </w:r>
    </w:p>
    <w:p>
      <w:r>
        <w:t>white/pink noise, Dining RIR, Restaurant RIR, and selected interactions?</w:t>
      </w:r>
    </w:p>
    <w:p>
      <w:pPr>
        <w:pStyle w:val="ListNumber"/>
      </w:pPr>
      <w:r>
        <w:t>How do native AMI, VOiCES, and CHiME-6 results differ without synthetic</w:t>
      </w:r>
    </w:p>
    <w:p>
      <w:r>
        <w:t>augmentation?</w:t>
      </w:r>
    </w:p>
    <w:p>
      <w:pPr>
        <w:pStyle w:val="ListNumber"/>
      </w:pPr>
      <w:r>
        <w:t>What CPU time, RAM, disk, telemetry availability, and failure behavior occur</w:t>
      </w:r>
    </w:p>
    <w:p>
      <w:r>
        <w:t>across this fixed reference surface?</w:t>
      </w:r>
    </w:p>
    <w:p>
      <w:r>
        <w:t>It cannot answer VAD, segmentation, speaker verification/open-set rejection, embedding drift, diarization, backend superiority, CUDA performance, or multi-backend Pareto questions because those components are disabled here.</w:t>
      </w:r>
    </w:p>
    <w:p>
      <w:pPr>
        <w:pStyle w:val="Heading2"/>
      </w:pPr>
      <w:r>
        <w:t>Scenario-family coverage</w:t>
      </w:r>
    </w:p>
    <w:p>
      <w:pPr>
        <w:sectPr>
          <w:footerReference w:type="default" r:id="rId9"/>
          <w:pgSz w:w="12240" w:h="15840"/>
          <w:pgMar w:top="979" w:right="1037" w:bottom="979" w:left="1037" w:header="720" w:footer="720" w:gutter="0"/>
          <w:cols w:space="720"/>
          <w:docGrid w:linePitch="360"/>
        </w:sectPr>
      </w:pPr>
    </w:p>
    <w:tbl>
      <w:tblPr>
        <w:tblW w:type="auto" w:w="0"/>
        <w:jc w:val="center"/>
        <w:tblLayout w:type="autofit"/>
        <w:tblLook w:firstColumn="1" w:firstRow="1" w:lastColumn="0" w:lastRow="0" w:noHBand="0" w:noVBand="1" w:val="04A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Pr>
      <w:tblGrid>
        <w:gridCol w:w="1568"/>
        <w:gridCol w:w="1568"/>
        <w:gridCol w:w="1568"/>
        <w:gridCol w:w="1568"/>
        <w:gridCol w:w="1568"/>
        <w:gridCol w:w="1568"/>
        <w:gridCol w:w="1568"/>
        <w:gridCol w:w="1568"/>
        <w:gridCol w:w="1568"/>
      </w:tblGrid>
      <w:tr>
        <w:trPr>
          <w:tblHeader w:val="true"/>
        </w:trPr>
        <w:tc>
          <w:tcPr>
            <w:tcW w:type="dxa" w:w="1568"/>
            <w:vAlign w:val="center"/>
            <w:tcMar>
              <w:top w:w="70" w:type="dxa"/>
              <w:start w:w="80" w:type="dxa"/>
              <w:bottom w:w="70" w:type="dxa"/>
              <w:end w:w="80" w:type="dxa"/>
            </w:tcMar>
            <w:shd w:fill="EAF1F8"/>
          </w:tcPr>
          <w:p>
            <w:pPr>
              <w:spacing w:after="0" w:line="240" w:lineRule="auto"/>
            </w:pPr>
            <w:r>
              <w:rPr>
                <w:b/>
                <w:color w:val="1F4E79"/>
                <w:sz w:val="15"/>
              </w:rPr>
              <w:t>Family</w:t>
            </w:r>
          </w:p>
        </w:tc>
        <w:tc>
          <w:tcPr>
            <w:tcW w:type="dxa" w:w="1568"/>
            <w:vAlign w:val="center"/>
            <w:tcMar>
              <w:top w:w="70" w:type="dxa"/>
              <w:start w:w="80" w:type="dxa"/>
              <w:bottom w:w="70" w:type="dxa"/>
              <w:end w:w="80" w:type="dxa"/>
            </w:tcMar>
            <w:shd w:fill="EAF1F8"/>
          </w:tcPr>
          <w:p>
            <w:pPr>
              <w:spacing w:after="0" w:line="240" w:lineRule="auto"/>
            </w:pPr>
            <w:r>
              <w:rPr>
                <w:b/>
                <w:color w:val="1F4E79"/>
                <w:sz w:val="15"/>
              </w:rPr>
              <w:t>Candidate</w:t>
            </w:r>
          </w:p>
        </w:tc>
        <w:tc>
          <w:tcPr>
            <w:tcW w:type="dxa" w:w="1568"/>
            <w:vAlign w:val="center"/>
            <w:tcMar>
              <w:top w:w="70" w:type="dxa"/>
              <w:start w:w="80" w:type="dxa"/>
              <w:bottom w:w="70" w:type="dxa"/>
              <w:end w:w="80" w:type="dxa"/>
            </w:tcMar>
            <w:shd w:fill="EAF1F8"/>
          </w:tcPr>
          <w:p>
            <w:pPr>
              <w:spacing w:after="0" w:line="240" w:lineRule="auto"/>
            </w:pPr>
            <w:r>
              <w:rPr>
                <w:b/>
                <w:color w:val="1F4E79"/>
                <w:sz w:val="15"/>
              </w:rPr>
              <w:t>Dataset/panel</w:t>
            </w:r>
          </w:p>
        </w:tc>
        <w:tc>
          <w:tcPr>
            <w:tcW w:type="dxa" w:w="1568"/>
            <w:vAlign w:val="center"/>
            <w:tcMar>
              <w:top w:w="70" w:type="dxa"/>
              <w:start w:w="80" w:type="dxa"/>
              <w:bottom w:w="70" w:type="dxa"/>
              <w:end w:w="80" w:type="dxa"/>
            </w:tcMar>
            <w:shd w:fill="EAF1F8"/>
          </w:tcPr>
          <w:p>
            <w:pPr>
              <w:spacing w:after="0" w:line="240" w:lineRule="auto"/>
            </w:pPr>
            <w:r>
              <w:rPr>
                <w:b/>
                <w:color w:val="1F4E79"/>
                <w:sz w:val="15"/>
              </w:rPr>
              <w:t>Conditions</w:t>
            </w:r>
          </w:p>
        </w:tc>
        <w:tc>
          <w:tcPr>
            <w:tcW w:type="dxa" w:w="1568"/>
            <w:vAlign w:val="center"/>
            <w:tcMar>
              <w:top w:w="70" w:type="dxa"/>
              <w:start w:w="80" w:type="dxa"/>
              <w:bottom w:w="70" w:type="dxa"/>
              <w:end w:w="80" w:type="dxa"/>
            </w:tcMar>
            <w:shd w:fill="EAF1F8"/>
          </w:tcPr>
          <w:p>
            <w:pPr>
              <w:spacing w:after="0" w:line="240" w:lineRule="auto"/>
            </w:pPr>
            <w:r>
              <w:rPr>
                <w:b/>
                <w:color w:val="1F4E79"/>
                <w:sz w:val="15"/>
              </w:rPr>
              <w:t>Scenarios</w:t>
            </w:r>
          </w:p>
        </w:tc>
        <w:tc>
          <w:tcPr>
            <w:tcW w:type="dxa" w:w="1568"/>
            <w:vAlign w:val="center"/>
            <w:tcMar>
              <w:top w:w="70" w:type="dxa"/>
              <w:start w:w="80" w:type="dxa"/>
              <w:bottom w:w="70" w:type="dxa"/>
              <w:end w:w="80" w:type="dxa"/>
            </w:tcMar>
            <w:shd w:fill="EAF1F8"/>
          </w:tcPr>
          <w:p>
            <w:pPr>
              <w:spacing w:after="0" w:line="240" w:lineRule="auto"/>
            </w:pPr>
            <w:r>
              <w:rPr>
                <w:b/>
                <w:color w:val="1F4E79"/>
                <w:sz w:val="15"/>
              </w:rPr>
              <w:t>Item executions</w:t>
            </w:r>
          </w:p>
        </w:tc>
        <w:tc>
          <w:tcPr>
            <w:tcW w:type="dxa" w:w="1568"/>
            <w:vAlign w:val="center"/>
            <w:tcMar>
              <w:top w:w="70" w:type="dxa"/>
              <w:start w:w="80" w:type="dxa"/>
              <w:bottom w:w="70" w:type="dxa"/>
              <w:end w:w="80" w:type="dxa"/>
            </w:tcMar>
            <w:shd w:fill="EAF1F8"/>
          </w:tcPr>
          <w:p>
            <w:pPr>
              <w:spacing w:after="0" w:line="240" w:lineRule="auto"/>
            </w:pPr>
            <w:r>
              <w:rPr>
                <w:b/>
                <w:color w:val="1F4E79"/>
                <w:sz w:val="15"/>
              </w:rPr>
              <w:t>Audio hours</w:t>
            </w:r>
          </w:p>
        </w:tc>
        <w:tc>
          <w:tcPr>
            <w:tcW w:type="dxa" w:w="1568"/>
            <w:vAlign w:val="center"/>
            <w:tcMar>
              <w:top w:w="70" w:type="dxa"/>
              <w:start w:w="80" w:type="dxa"/>
              <w:bottom w:w="70" w:type="dxa"/>
              <w:end w:w="80" w:type="dxa"/>
            </w:tcMar>
            <w:shd w:fill="EAF1F8"/>
          </w:tcPr>
          <w:p>
            <w:pPr>
              <w:spacing w:after="0" w:line="240" w:lineRule="auto"/>
            </w:pPr>
            <w:r>
              <w:rPr>
                <w:b/>
                <w:color w:val="1F4E79"/>
                <w:sz w:val="15"/>
              </w:rPr>
              <w:t>Primary valid outputs</w:t>
            </w:r>
          </w:p>
        </w:tc>
        <w:tc>
          <w:tcPr>
            <w:tcW w:type="dxa" w:w="1568"/>
            <w:vAlign w:val="center"/>
            <w:tcMar>
              <w:top w:w="70" w:type="dxa"/>
              <w:start w:w="80" w:type="dxa"/>
              <w:bottom w:w="70" w:type="dxa"/>
              <w:end w:w="80" w:type="dxa"/>
            </w:tcMar>
            <w:shd w:fill="EAF1F8"/>
          </w:tcPr>
          <w:p>
            <w:pPr>
              <w:spacing w:after="0" w:line="240" w:lineRule="auto"/>
            </w:pPr>
            <w:r>
              <w:rPr>
                <w:b/>
                <w:color w:val="1F4E79"/>
                <w:sz w:val="15"/>
              </w:rPr>
              <w:t>Purpose</w:t>
            </w:r>
          </w:p>
        </w:tc>
      </w:tr>
      <w:tr>
        <w:tc>
          <w:tcPr>
            <w:tcW w:type="dxa" w:w="1568"/>
            <w:vAlign w:val="center"/>
            <w:tcMar>
              <w:top w:w="70" w:type="dxa"/>
              <w:start w:w="80" w:type="dxa"/>
              <w:bottom w:w="70" w:type="dxa"/>
              <w:end w:w="80" w:type="dxa"/>
            </w:tcMar>
          </w:tcPr>
          <w:p>
            <w:pPr>
              <w:spacing w:after="0" w:line="240" w:lineRule="auto"/>
            </w:pPr>
            <w:r>
              <w:rPr>
                <w:sz w:val="15"/>
              </w:rPr>
              <w:t>Controlled ASR</w:t>
            </w:r>
          </w:p>
        </w:tc>
        <w:tc>
          <w:tcPr>
            <w:tcW w:type="dxa" w:w="1568"/>
            <w:vAlign w:val="center"/>
            <w:tcMar>
              <w:top w:w="70" w:type="dxa"/>
              <w:start w:w="80" w:type="dxa"/>
              <w:bottom w:w="70" w:type="dxa"/>
              <w:end w:w="80" w:type="dxa"/>
            </w:tcMar>
          </w:tcPr>
          <w:p>
            <w:pPr>
              <w:spacing w:after="0" w:line="240" w:lineRule="auto"/>
            </w:pPr>
            <w:r>
              <w:rPr>
                <w:sz w:val="15"/>
              </w:rPr>
              <w:t>Whisper Base full-record</w:t>
            </w:r>
          </w:p>
        </w:tc>
        <w:tc>
          <w:tcPr>
            <w:tcW w:type="dxa" w:w="1568"/>
            <w:vAlign w:val="center"/>
            <w:tcMar>
              <w:top w:w="70" w:type="dxa"/>
              <w:start w:w="80" w:type="dxa"/>
              <w:bottom w:w="70" w:type="dxa"/>
              <w:end w:w="80" w:type="dxa"/>
            </w:tcMar>
          </w:tcPr>
          <w:p>
            <w:pPr>
              <w:spacing w:after="0" w:line="240" w:lineRule="auto"/>
            </w:pPr>
            <w:r>
              <w:rPr>
                <w:sz w:val="15"/>
              </w:rPr>
              <w:t xml:space="preserve">CMU Arctic, LibriSpeech clean, HiFiTTS clean / </w:t>
            </w:r>
            <w:r>
              <w:rPr>
                <w:rFonts w:ascii="Consolas" w:hAnsi="Consolas"/>
                <w:color w:val="1F2937"/>
                <w:sz w:val="15"/>
              </w:rPr>
              <w:t>controlled_clean</w:t>
            </w:r>
          </w:p>
        </w:tc>
        <w:tc>
          <w:tcPr>
            <w:tcW w:type="dxa" w:w="1568"/>
            <w:vAlign w:val="center"/>
            <w:tcMar>
              <w:top w:w="70" w:type="dxa"/>
              <w:start w:w="80" w:type="dxa"/>
              <w:bottom w:w="70" w:type="dxa"/>
              <w:end w:w="80" w:type="dxa"/>
            </w:tcMar>
          </w:tcPr>
          <w:p>
            <w:pPr>
              <w:spacing w:after="0" w:line="240" w:lineRule="auto"/>
            </w:pPr>
            <w:r>
              <w:rPr>
                <w:sz w:val="15"/>
              </w:rPr>
              <w:t>clean, white 10/20 dB, pink 10/20 dB, Dining, Restaurant, selected RIR+pink 10 dB</w:t>
            </w:r>
          </w:p>
        </w:tc>
        <w:tc>
          <w:tcPr>
            <w:tcW w:type="dxa" w:w="1568"/>
            <w:vAlign w:val="center"/>
            <w:tcMar>
              <w:top w:w="70" w:type="dxa"/>
              <w:start w:w="80" w:type="dxa"/>
              <w:bottom w:w="70" w:type="dxa"/>
              <w:end w:w="80" w:type="dxa"/>
            </w:tcMar>
          </w:tcPr>
          <w:p>
            <w:pPr>
              <w:spacing w:after="0" w:line="240" w:lineRule="auto"/>
            </w:pPr>
            <w:r>
              <w:rPr>
                <w:sz w:val="15"/>
              </w:rPr>
              <w:t>27</w:t>
            </w:r>
          </w:p>
        </w:tc>
        <w:tc>
          <w:tcPr>
            <w:tcW w:type="dxa" w:w="1568"/>
            <w:vAlign w:val="center"/>
            <w:tcMar>
              <w:top w:w="70" w:type="dxa"/>
              <w:start w:w="80" w:type="dxa"/>
              <w:bottom w:w="70" w:type="dxa"/>
              <w:end w:w="80" w:type="dxa"/>
            </w:tcMar>
          </w:tcPr>
          <w:p>
            <w:pPr>
              <w:spacing w:after="0" w:line="240" w:lineRule="auto"/>
            </w:pPr>
            <w:r>
              <w:rPr>
                <w:sz w:val="15"/>
              </w:rPr>
              <w:t>17,640</w:t>
            </w:r>
          </w:p>
        </w:tc>
        <w:tc>
          <w:tcPr>
            <w:tcW w:type="dxa" w:w="1568"/>
            <w:vAlign w:val="center"/>
            <w:tcMar>
              <w:top w:w="70" w:type="dxa"/>
              <w:start w:w="80" w:type="dxa"/>
              <w:bottom w:w="70" w:type="dxa"/>
              <w:end w:w="80" w:type="dxa"/>
            </w:tcMar>
          </w:tcPr>
          <w:p>
            <w:pPr>
              <w:spacing w:after="0" w:line="240" w:lineRule="auto"/>
            </w:pPr>
            <w:r>
              <w:rPr>
                <w:sz w:val="15"/>
              </w:rPr>
              <w:t>23.832780</w:t>
            </w:r>
          </w:p>
        </w:tc>
        <w:tc>
          <w:tcPr>
            <w:tcW w:type="dxa" w:w="1568"/>
            <w:vAlign w:val="center"/>
            <w:tcMar>
              <w:top w:w="70" w:type="dxa"/>
              <w:start w:w="80" w:type="dxa"/>
              <w:bottom w:w="70" w:type="dxa"/>
              <w:end w:w="80" w:type="dxa"/>
            </w:tcMar>
          </w:tcPr>
          <w:p>
            <w:pPr>
              <w:spacing w:after="0" w:line="240" w:lineRule="auto"/>
            </w:pPr>
            <w:r>
              <w:rPr>
                <w:sz w:val="15"/>
              </w:rPr>
              <w:t>ASR/reliability/resources</w:t>
            </w:r>
          </w:p>
        </w:tc>
        <w:tc>
          <w:tcPr>
            <w:tcW w:type="dxa" w:w="1568"/>
            <w:vAlign w:val="center"/>
            <w:tcMar>
              <w:top w:w="70" w:type="dxa"/>
              <w:start w:w="80" w:type="dxa"/>
              <w:bottom w:w="70" w:type="dxa"/>
              <w:end w:w="80" w:type="dxa"/>
            </w:tcMar>
          </w:tcPr>
          <w:p>
            <w:pPr>
              <w:spacing w:after="0" w:line="240" w:lineRule="auto"/>
            </w:pPr>
            <w:r>
              <w:rPr>
                <w:sz w:val="15"/>
              </w:rPr>
              <w:t>Clean reference and controlled degradation</w:t>
            </w:r>
          </w:p>
        </w:tc>
      </w:tr>
      <w:tr>
        <w:tc>
          <w:tcPr>
            <w:tcW w:type="dxa" w:w="1568"/>
            <w:vAlign w:val="center"/>
            <w:tcMar>
              <w:top w:w="70" w:type="dxa"/>
              <w:start w:w="80" w:type="dxa"/>
              <w:bottom w:w="70" w:type="dxa"/>
              <w:end w:w="80" w:type="dxa"/>
            </w:tcMar>
          </w:tcPr>
          <w:p>
            <w:pPr>
              <w:spacing w:after="0" w:line="240" w:lineRule="auto"/>
            </w:pPr>
            <w:r>
              <w:rPr>
                <w:sz w:val="15"/>
              </w:rPr>
              <w:t>Native ASR</w:t>
            </w:r>
          </w:p>
        </w:tc>
        <w:tc>
          <w:tcPr>
            <w:tcW w:type="dxa" w:w="1568"/>
            <w:vAlign w:val="center"/>
            <w:tcMar>
              <w:top w:w="70" w:type="dxa"/>
              <w:start w:w="80" w:type="dxa"/>
              <w:bottom w:w="70" w:type="dxa"/>
              <w:end w:w="80" w:type="dxa"/>
            </w:tcMar>
          </w:tcPr>
          <w:p>
            <w:pPr>
              <w:spacing w:after="0" w:line="240" w:lineRule="auto"/>
            </w:pPr>
            <w:r>
              <w:rPr>
                <w:sz w:val="15"/>
              </w:rPr>
              <w:t>Same</w:t>
            </w:r>
          </w:p>
        </w:tc>
        <w:tc>
          <w:tcPr>
            <w:tcW w:type="dxa" w:w="1568"/>
            <w:vAlign w:val="center"/>
            <w:tcMar>
              <w:top w:w="70" w:type="dxa"/>
              <w:start w:w="80" w:type="dxa"/>
              <w:bottom w:w="70" w:type="dxa"/>
              <w:end w:w="80" w:type="dxa"/>
            </w:tcMar>
          </w:tcPr>
          <w:p>
            <w:pPr>
              <w:spacing w:after="0" w:line="240" w:lineRule="auto"/>
            </w:pPr>
            <w:r>
              <w:rPr>
                <w:sz w:val="15"/>
              </w:rPr>
              <w:t xml:space="preserve">AMI, VOiCES, CHiME-6 and approved native rows / </w:t>
            </w:r>
            <w:r>
              <w:rPr>
                <w:rFonts w:ascii="Consolas" w:hAnsi="Consolas"/>
                <w:color w:val="1F2937"/>
                <w:sz w:val="15"/>
              </w:rPr>
              <w:t>native_robustness</w:t>
            </w:r>
          </w:p>
        </w:tc>
        <w:tc>
          <w:tcPr>
            <w:tcW w:type="dxa" w:w="1568"/>
            <w:vAlign w:val="center"/>
            <w:tcMar>
              <w:top w:w="70" w:type="dxa"/>
              <w:start w:w="80" w:type="dxa"/>
              <w:bottom w:w="70" w:type="dxa"/>
              <w:end w:w="80" w:type="dxa"/>
            </w:tcMar>
          </w:tcPr>
          <w:p>
            <w:pPr>
              <w:spacing w:after="0" w:line="240" w:lineRule="auto"/>
            </w:pPr>
            <w:r>
              <w:rPr>
                <w:sz w:val="15"/>
              </w:rPr>
              <w:t>native only</w:t>
            </w:r>
          </w:p>
        </w:tc>
        <w:tc>
          <w:tcPr>
            <w:tcW w:type="dxa" w:w="1568"/>
            <w:vAlign w:val="center"/>
            <w:tcMar>
              <w:top w:w="70" w:type="dxa"/>
              <w:start w:w="80" w:type="dxa"/>
              <w:bottom w:w="70" w:type="dxa"/>
              <w:end w:w="80" w:type="dxa"/>
            </w:tcMar>
          </w:tcPr>
          <w:p>
            <w:pPr>
              <w:spacing w:after="0" w:line="240" w:lineRule="auto"/>
            </w:pPr>
            <w:r>
              <w:rPr>
                <w:sz w:val="15"/>
              </w:rPr>
              <w:t>5</w:t>
            </w:r>
          </w:p>
        </w:tc>
        <w:tc>
          <w:tcPr>
            <w:tcW w:type="dxa" w:w="1568"/>
            <w:vAlign w:val="center"/>
            <w:tcMar>
              <w:top w:w="70" w:type="dxa"/>
              <w:start w:w="80" w:type="dxa"/>
              <w:bottom w:w="70" w:type="dxa"/>
              <w:end w:w="80" w:type="dxa"/>
            </w:tcMar>
          </w:tcPr>
          <w:p>
            <w:pPr>
              <w:spacing w:after="0" w:line="240" w:lineRule="auto"/>
            </w:pPr>
            <w:r>
              <w:rPr>
                <w:sz w:val="15"/>
              </w:rPr>
              <w:t>6,298</w:t>
            </w:r>
          </w:p>
        </w:tc>
        <w:tc>
          <w:tcPr>
            <w:tcW w:type="dxa" w:w="1568"/>
            <w:vAlign w:val="center"/>
            <w:tcMar>
              <w:top w:w="70" w:type="dxa"/>
              <w:start w:w="80" w:type="dxa"/>
              <w:bottom w:w="70" w:type="dxa"/>
              <w:end w:w="80" w:type="dxa"/>
            </w:tcMar>
          </w:tcPr>
          <w:p>
            <w:pPr>
              <w:spacing w:after="0" w:line="240" w:lineRule="auto"/>
            </w:pPr>
            <w:r>
              <w:rPr>
                <w:sz w:val="15"/>
              </w:rPr>
              <w:t>8.156690</w:t>
            </w:r>
          </w:p>
        </w:tc>
        <w:tc>
          <w:tcPr>
            <w:tcW w:type="dxa" w:w="1568"/>
            <w:vAlign w:val="center"/>
            <w:tcMar>
              <w:top w:w="70" w:type="dxa"/>
              <w:start w:w="80" w:type="dxa"/>
              <w:bottom w:w="70" w:type="dxa"/>
              <w:end w:w="80" w:type="dxa"/>
            </w:tcMar>
          </w:tcPr>
          <w:p>
            <w:pPr>
              <w:spacing w:after="0" w:line="240" w:lineRule="auto"/>
            </w:pPr>
            <w:r>
              <w:rPr>
                <w:sz w:val="15"/>
              </w:rPr>
              <w:t>ASR/reliability/resources grouped where metadata permits</w:t>
            </w:r>
          </w:p>
        </w:tc>
        <w:tc>
          <w:tcPr>
            <w:tcW w:type="dxa" w:w="1568"/>
            <w:vAlign w:val="center"/>
            <w:tcMar>
              <w:top w:w="70" w:type="dxa"/>
              <w:start w:w="80" w:type="dxa"/>
              <w:bottom w:w="70" w:type="dxa"/>
              <w:end w:w="80" w:type="dxa"/>
            </w:tcMar>
          </w:tcPr>
          <w:p>
            <w:pPr>
              <w:spacing w:after="0" w:line="240" w:lineRule="auto"/>
            </w:pPr>
            <w:r>
              <w:rPr>
                <w:sz w:val="15"/>
              </w:rPr>
              <w:t>Native far-field/meeting robustness without double augmentation</w:t>
            </w:r>
          </w:p>
        </w:tc>
      </w:tr>
      <w:tr>
        <w:tc>
          <w:tcPr>
            <w:tcW w:type="dxa" w:w="1568"/>
            <w:vAlign w:val="center"/>
            <w:tcMar>
              <w:top w:w="70" w:type="dxa"/>
              <w:start w:w="80" w:type="dxa"/>
              <w:bottom w:w="70" w:type="dxa"/>
              <w:end w:w="80" w:type="dxa"/>
            </w:tcMar>
          </w:tcPr>
          <w:p>
            <w:pPr>
              <w:spacing w:after="0" w:line="240" w:lineRule="auto"/>
            </w:pPr>
            <w:r>
              <w:rPr>
                <w:sz w:val="15"/>
              </w:rPr>
              <w:t>Speaker-source ASR</w:t>
            </w:r>
          </w:p>
        </w:tc>
        <w:tc>
          <w:tcPr>
            <w:tcW w:type="dxa" w:w="1568"/>
            <w:vAlign w:val="center"/>
            <w:tcMar>
              <w:top w:w="70" w:type="dxa"/>
              <w:start w:w="80" w:type="dxa"/>
              <w:bottom w:w="70" w:type="dxa"/>
              <w:end w:w="80" w:type="dxa"/>
            </w:tcMar>
          </w:tcPr>
          <w:p>
            <w:pPr>
              <w:spacing w:after="0" w:line="240" w:lineRule="auto"/>
            </w:pPr>
            <w:r>
              <w:rPr>
                <w:sz w:val="15"/>
              </w:rPr>
              <w:t>Same; no embeddings/matcher</w:t>
            </w:r>
          </w:p>
        </w:tc>
        <w:tc>
          <w:tcPr>
            <w:tcW w:type="dxa" w:w="1568"/>
            <w:vAlign w:val="center"/>
            <w:tcMar>
              <w:top w:w="70" w:type="dxa"/>
              <w:start w:w="80" w:type="dxa"/>
              <w:bottom w:w="70" w:type="dxa"/>
              <w:end w:w="80" w:type="dxa"/>
            </w:tcMar>
          </w:tcPr>
          <w:p>
            <w:pPr>
              <w:spacing w:after="0" w:line="240" w:lineRule="auto"/>
            </w:pPr>
            <w:r>
              <w:rPr>
                <w:sz w:val="15"/>
              </w:rPr>
              <w:t xml:space="preserve">Immutable enrollment/calibration/known/unknown source rows / </w:t>
            </w:r>
            <w:r>
              <w:rPr>
                <w:rFonts w:ascii="Consolas" w:hAnsi="Consolas"/>
                <w:color w:val="1F2937"/>
                <w:sz w:val="15"/>
              </w:rPr>
              <w:t>speaker_protocol</w:t>
            </w:r>
          </w:p>
        </w:tc>
        <w:tc>
          <w:tcPr>
            <w:tcW w:type="dxa" w:w="1568"/>
            <w:vAlign w:val="center"/>
            <w:tcMar>
              <w:top w:w="70" w:type="dxa"/>
              <w:start w:w="80" w:type="dxa"/>
              <w:bottom w:w="70" w:type="dxa"/>
              <w:end w:w="80" w:type="dxa"/>
            </w:tcMar>
          </w:tcPr>
          <w:p>
            <w:pPr>
              <w:spacing w:after="0" w:line="240" w:lineRule="auto"/>
            </w:pPr>
            <w:r>
              <w:rPr>
                <w:sz w:val="15"/>
              </w:rPr>
              <w:t>clean/degraded manifest conditions</w:t>
            </w:r>
          </w:p>
        </w:tc>
        <w:tc>
          <w:tcPr>
            <w:tcW w:type="dxa" w:w="1568"/>
            <w:vAlign w:val="center"/>
            <w:tcMar>
              <w:top w:w="70" w:type="dxa"/>
              <w:start w:w="80" w:type="dxa"/>
              <w:bottom w:w="70" w:type="dxa"/>
              <w:end w:w="80" w:type="dxa"/>
            </w:tcMar>
          </w:tcPr>
          <w:p>
            <w:pPr>
              <w:spacing w:after="0" w:line="240" w:lineRule="auto"/>
            </w:pPr>
            <w:r>
              <w:rPr>
                <w:sz w:val="15"/>
              </w:rPr>
              <w:t>9</w:t>
            </w:r>
          </w:p>
        </w:tc>
        <w:tc>
          <w:tcPr>
            <w:tcW w:type="dxa" w:w="1568"/>
            <w:vAlign w:val="center"/>
            <w:tcMar>
              <w:top w:w="70" w:type="dxa"/>
              <w:start w:w="80" w:type="dxa"/>
              <w:bottom w:w="70" w:type="dxa"/>
              <w:end w:w="80" w:type="dxa"/>
            </w:tcMar>
          </w:tcPr>
          <w:p>
            <w:pPr>
              <w:spacing w:after="0" w:line="240" w:lineRule="auto"/>
            </w:pPr>
            <w:r>
              <w:rPr>
                <w:sz w:val="15"/>
              </w:rPr>
              <w:t>1,860</w:t>
            </w:r>
          </w:p>
        </w:tc>
        <w:tc>
          <w:tcPr>
            <w:tcW w:type="dxa" w:w="1568"/>
            <w:vAlign w:val="center"/>
            <w:tcMar>
              <w:top w:w="70" w:type="dxa"/>
              <w:start w:w="80" w:type="dxa"/>
              <w:bottom w:w="70" w:type="dxa"/>
              <w:end w:w="80" w:type="dxa"/>
            </w:tcMar>
          </w:tcPr>
          <w:p>
            <w:pPr>
              <w:spacing w:after="0" w:line="240" w:lineRule="auto"/>
            </w:pPr>
            <w:r>
              <w:rPr>
                <w:sz w:val="15"/>
              </w:rPr>
              <w:t>1.730650</w:t>
            </w:r>
          </w:p>
        </w:tc>
        <w:tc>
          <w:tcPr>
            <w:tcW w:type="dxa" w:w="1568"/>
            <w:vAlign w:val="center"/>
            <w:tcMar>
              <w:top w:w="70" w:type="dxa"/>
              <w:start w:w="80" w:type="dxa"/>
              <w:bottom w:w="70" w:type="dxa"/>
              <w:end w:w="80" w:type="dxa"/>
            </w:tcMar>
          </w:tcPr>
          <w:p>
            <w:pPr>
              <w:spacing w:after="0" w:line="240" w:lineRule="auto"/>
            </w:pPr>
            <w:r>
              <w:rPr>
                <w:sz w:val="15"/>
              </w:rPr>
              <w:t>ASR/reliability only</w:t>
            </w:r>
          </w:p>
        </w:tc>
        <w:tc>
          <w:tcPr>
            <w:tcW w:type="dxa" w:w="1568"/>
            <w:vAlign w:val="center"/>
            <w:tcMar>
              <w:top w:w="70" w:type="dxa"/>
              <w:start w:w="80" w:type="dxa"/>
              <w:bottom w:w="70" w:type="dxa"/>
              <w:end w:w="80" w:type="dxa"/>
            </w:tcMar>
          </w:tcPr>
          <w:p>
            <w:pPr>
              <w:spacing w:after="0" w:line="240" w:lineRule="auto"/>
            </w:pPr>
            <w:r>
              <w:rPr>
                <w:sz w:val="15"/>
              </w:rPr>
              <w:t xml:space="preserve">Preserve common source selection for later backend-specific speaker work; </w:t>
            </w:r>
            <w:r>
              <w:rPr>
                <w:b/>
                <w:sz w:val="15"/>
              </w:rPr>
              <w:t>not</w:t>
            </w:r>
            <w:r>
              <w:rPr>
                <w:sz w:val="15"/>
              </w:rPr>
              <w:t xml:space="preserve"> speaker verification evidence</w:t>
            </w:r>
          </w:p>
        </w:tc>
      </w:tr>
    </w:tbl>
    <w:p>
      <w:pPr>
        <w:spacing w:after="20"/>
      </w:pPr>
    </w:p>
    <w:p>
      <w:pPr>
        <w:sectPr>
          <w:pgSz w:w="15840" w:h="12240" w:orient="landscape"/>
          <w:pgMar w:top="792" w:right="864" w:bottom="792" w:left="864" w:header="720" w:footer="720" w:gutter="0"/>
          <w:cols w:space="720"/>
          <w:docGrid w:linePitch="360"/>
        </w:sectPr>
      </w:pPr>
    </w:p>
    <w:p>
      <w:r>
        <w:t>Dataset scenario counts are CMU Arctic 18, LibriSpeech 10, HiFiTTS 10, AMI 1, VOiCES 1, and CHiME-6 1. Condition counts are clean 6, native 5, white 10 dB 5, white 20 dB 3, pink 10 dB 5, pink 20 dB 3, Dining 5, Restaurant 3, Dining+pink 10 dB 3, and Restaurant+pink 10 dB 3.</w:t>
      </w:r>
    </w:p>
    <w:p>
      <w:pPr>
        <w:pStyle w:val="Heading2"/>
      </w:pPr>
      <w:r>
        <w:t>Components and acoustic policy</w:t>
      </w:r>
    </w:p>
    <w:p>
      <w:r>
        <w:t xml:space="preserve">The only active model component is </w:t>
      </w:r>
      <w:r>
        <w:rPr>
          <w:rFonts w:ascii="Consolas" w:hAnsi="Consolas"/>
          <w:color w:val="1F2937"/>
          <w:sz w:val="19"/>
        </w:rPr>
        <w:t>whisper_base</w:t>
      </w:r>
      <w:r>
        <w:t xml:space="preserve"> through </w:t>
      </w:r>
      <w:r>
        <w:rPr>
          <w:rFonts w:ascii="Consolas" w:hAnsi="Consolas"/>
          <w:color w:val="1F2937"/>
          <w:sz w:val="19"/>
        </w:rPr>
        <w:t>WhisperBaseASRAdapter</w:t>
      </w:r>
      <w:r>
        <w:t xml:space="preserve"> / </w:t>
      </w:r>
      <w:r>
        <w:rPr>
          <w:rFonts w:ascii="Consolas" w:hAnsi="Consolas"/>
          <w:color w:val="1F2937"/>
          <w:sz w:val="19"/>
        </w:rPr>
        <w:t>WhisperASR</w:t>
      </w:r>
      <w:r>
        <w:t xml:space="preserve">. VAD, segmentation, speaker embedding, speaker matching, and diarization are explicit disabled no-ops. Whisper Base uses English, beam size 1, 16 kHz audio, CPU/float32, and the exact 145,262,807 byte model with SHA-256 </w:t>
      </w:r>
      <w:r>
        <w:rPr>
          <w:rFonts w:ascii="Consolas" w:hAnsi="Consolas"/>
          <w:color w:val="1F2937"/>
          <w:sz w:val="19"/>
        </w:rPr>
        <w:t>ED3A0B6B1C0EDF879AD9B11B1AF5A0E6AB5DB9205F891F668F8B0E6C6326E34E</w:t>
      </w:r>
      <w:r>
        <w:t>.</w:t>
      </w:r>
    </w:p>
    <w:p>
      <w:r>
        <w:t xml:space="preserve">Only controlled-clean sources receive simulation. Native rows are </w:t>
      </w:r>
      <w:r>
        <w:rPr>
          <w:rFonts w:ascii="Consolas" w:hAnsi="Consolas"/>
          <w:color w:val="1F2937"/>
          <w:sz w:val="19"/>
        </w:rPr>
        <w:t>native_only</w:t>
      </w:r>
      <w:r>
        <w:t>. The two executable RIR identities are:</w:t>
      </w:r>
    </w:p>
    <w:p>
      <w:pPr>
        <w:pStyle w:val="ListBullet"/>
      </w:pPr>
      <w:r>
        <w:rPr>
          <w:rFonts w:ascii="Consolas" w:hAnsi="Consolas"/>
          <w:color w:val="1F2937"/>
          <w:sz w:val="19"/>
        </w:rPr>
        <w:t>dining_room_h025</w:t>
      </w:r>
      <w:r>
        <w:t xml:space="preserve"> — </w:t>
      </w:r>
      <w:r>
        <w:rPr>
          <w:rFonts w:ascii="Consolas" w:hAnsi="Consolas"/>
          <w:color w:val="1F2937"/>
          <w:sz w:val="19"/>
        </w:rPr>
        <w:t>h025_Diningroom_8txts.wav</w:t>
      </w:r>
      <w:r>
        <w:t>, SHA-256</w:t>
      </w:r>
    </w:p>
    <w:p>
      <w:r>
        <w:rPr>
          <w:rFonts w:ascii="Consolas" w:hAnsi="Consolas"/>
          <w:color w:val="1F2937"/>
          <w:sz w:val="19"/>
        </w:rPr>
        <w:t>940D761A280DCD8FAAB077074E02BADE649E64E47461D80A4F927A01ABBEF5E2</w:t>
      </w:r>
      <w:r>
        <w:t>;</w:t>
      </w:r>
    </w:p>
    <w:p>
      <w:pPr>
        <w:pStyle w:val="ListBullet"/>
      </w:pPr>
      <w:r>
        <w:rPr>
          <w:rFonts w:ascii="Consolas" w:hAnsi="Consolas"/>
          <w:color w:val="1F2937"/>
          <w:sz w:val="19"/>
        </w:rPr>
        <w:t>restaurant_h093</w:t>
      </w:r>
      <w:r>
        <w:t xml:space="preserve"> — </w:t>
      </w:r>
      <w:r>
        <w:rPr>
          <w:rFonts w:ascii="Consolas" w:hAnsi="Consolas"/>
          <w:color w:val="1F2937"/>
          <w:sz w:val="19"/>
        </w:rPr>
        <w:t>h093_Restaurant_2txts.wav</w:t>
      </w:r>
      <w:r>
        <w:t>, SHA-256</w:t>
      </w:r>
    </w:p>
    <w:p>
      <w:r>
        <w:rPr>
          <w:rFonts w:ascii="Consolas" w:hAnsi="Consolas"/>
          <w:color w:val="1F2937"/>
          <w:sz w:val="19"/>
        </w:rPr>
        <w:t>C2CA8A07002943409D31A2C6D6D07BA826AA428FE6EF6CECF2C4FF33D7D4A8A8</w:t>
      </w:r>
      <w:r>
        <w:t>.</w:t>
      </w:r>
    </w:p>
    <w:p>
      <w:r>
        <w:t>Bedroom is unresolved and has no scenario. ParkingLot is never substituted for Bedroom or Kitchen. No XVF3800 processing or extra RIR characterization is in scope.</w:t>
      </w:r>
    </w:p>
    <w:p>
      <w:pPr>
        <w:pStyle w:val="Heading2"/>
      </w:pPr>
      <w:r>
        <w:t>Metrics, telemetry, plots, and reports</w:t>
      </w:r>
    </w:p>
    <w:p>
      <w:r>
        <w:t>Each ASR scenario is expected to retain standardized predictions, diagnostics, failures, item/grouped metrics, summary, telemetry samples, component spans, resource summary, logs, checksums, and scenario reports. Valid campaign-level analysis includes WER/error counts, reliability/completion, available CPU/RAM/ disk/GPU-null telemetry, condition/dataset groups, coverage, and eligibility- gated plots. CER, latency, RTF, throughput, sensor values, and subgroup plots are emitted only when their required artifacts exist. Speaker/diarization metrics are not supported by this candidate and must be reported unavailable, not zero.</w:t>
      </w:r>
    </w:p>
    <w:p>
      <w:pPr>
        <w:pStyle w:val="Heading2"/>
      </w:pPr>
      <w:r>
        <w:t>Excluded or blocked coverage</w:t>
      </w:r>
    </w:p>
    <w:tbl>
      <w:tblPr>
        <w:tblW w:type="auto" w:w="0"/>
        <w:jc w:val="center"/>
        <w:tblLayout w:type="autofit"/>
        <w:tblLook w:firstColumn="1" w:firstRow="1" w:lastColumn="0" w:lastRow="0" w:noHBand="0" w:noVBand="1" w:val="04A0"/>
        <w:tblBorders>
          <w:top w:val="single" w:sz="4" w:space="0" w:color="B7C9DA"/>
          <w:left w:val="single" w:sz="4" w:space="0" w:color="B7C9DA"/>
          <w:bottom w:val="single" w:sz="4" w:space="0" w:color="B7C9DA"/>
          <w:right w:val="single" w:sz="4" w:space="0" w:color="B7C9DA"/>
          <w:insideH w:val="single" w:sz="4" w:space="0" w:color="B7C9DA"/>
          <w:insideV w:val="single" w:sz="4" w:space="0" w:color="B7C9DA"/>
        </w:tblBorders>
      </w:tblPr>
      <w:tblGrid>
        <w:gridCol w:w="3389"/>
        <w:gridCol w:w="3389"/>
        <w:gridCol w:w="3389"/>
      </w:tblGrid>
      <w:tr>
        <w:trPr>
          <w:tblHeader w:val="true"/>
        </w:trPr>
        <w:tc>
          <w:tcPr>
            <w:tcW w:type="dxa" w:w="3389"/>
            <w:vAlign w:val="center"/>
            <w:tcMar>
              <w:top w:w="70" w:type="dxa"/>
              <w:start w:w="80" w:type="dxa"/>
              <w:bottom w:w="70" w:type="dxa"/>
              <w:end w:w="80" w:type="dxa"/>
            </w:tcMar>
            <w:shd w:fill="EAF1F8"/>
          </w:tcPr>
          <w:p>
            <w:pPr>
              <w:spacing w:after="0" w:line="240" w:lineRule="auto"/>
            </w:pPr>
            <w:r>
              <w:rPr>
                <w:b/>
                <w:color w:val="1F4E79"/>
                <w:sz w:val="17"/>
              </w:rPr>
              <w:t>Component family</w:t>
            </w:r>
          </w:p>
        </w:tc>
        <w:tc>
          <w:tcPr>
            <w:tcW w:type="dxa" w:w="3389"/>
            <w:vAlign w:val="center"/>
            <w:tcMar>
              <w:top w:w="70" w:type="dxa"/>
              <w:start w:w="80" w:type="dxa"/>
              <w:bottom w:w="70" w:type="dxa"/>
              <w:end w:w="80" w:type="dxa"/>
            </w:tcMar>
            <w:shd w:fill="EAF1F8"/>
          </w:tcPr>
          <w:p>
            <w:pPr>
              <w:spacing w:after="0" w:line="240" w:lineRule="auto"/>
            </w:pPr>
            <w:r>
              <w:rPr>
                <w:b/>
                <w:color w:val="1F4E79"/>
                <w:sz w:val="17"/>
              </w:rPr>
              <w:t>Status in candidate</w:t>
            </w:r>
          </w:p>
        </w:tc>
        <w:tc>
          <w:tcPr>
            <w:tcW w:type="dxa" w:w="3389"/>
            <w:vAlign w:val="center"/>
            <w:tcMar>
              <w:top w:w="70" w:type="dxa"/>
              <w:start w:w="80" w:type="dxa"/>
              <w:bottom w:w="70" w:type="dxa"/>
              <w:end w:w="80" w:type="dxa"/>
            </w:tcMar>
            <w:shd w:fill="EAF1F8"/>
          </w:tcPr>
          <w:p>
            <w:pPr>
              <w:spacing w:after="0" w:line="240" w:lineRule="auto"/>
            </w:pPr>
            <w:r>
              <w:rPr>
                <w:b/>
                <w:color w:val="1F4E79"/>
                <w:sz w:val="17"/>
              </w:rPr>
              <w:t>Reason</w:t>
            </w:r>
          </w:p>
        </w:tc>
      </w:tr>
      <w:tr>
        <w:tc>
          <w:tcPr>
            <w:tcW w:type="dxa" w:w="3389"/>
            <w:vAlign w:val="center"/>
            <w:tcMar>
              <w:top w:w="70" w:type="dxa"/>
              <w:start w:w="80" w:type="dxa"/>
              <w:bottom w:w="70" w:type="dxa"/>
              <w:end w:w="80" w:type="dxa"/>
            </w:tcMar>
          </w:tcPr>
          <w:p>
            <w:pPr>
              <w:spacing w:after="0" w:line="240" w:lineRule="auto"/>
            </w:pPr>
            <w:r>
              <w:rPr>
                <w:sz w:val="17"/>
              </w:rPr>
              <w:t>Whisper Tiny/Small and extended ASR</w:t>
            </w:r>
          </w:p>
        </w:tc>
        <w:tc>
          <w:tcPr>
            <w:tcW w:type="dxa" w:w="3389"/>
            <w:vAlign w:val="center"/>
            <w:tcMar>
              <w:top w:w="70" w:type="dxa"/>
              <w:start w:w="80" w:type="dxa"/>
              <w:bottom w:w="70" w:type="dxa"/>
              <w:end w:w="80" w:type="dxa"/>
            </w:tcMar>
          </w:tcPr>
          <w:p>
            <w:pPr>
              <w:spacing w:after="0" w:line="240" w:lineRule="auto"/>
            </w:pPr>
            <w:r>
              <w:rPr>
                <w:sz w:val="17"/>
              </w:rPr>
              <w:t>Excluded pending screening</w:t>
            </w:r>
          </w:p>
        </w:tc>
        <w:tc>
          <w:tcPr>
            <w:tcW w:type="dxa" w:w="3389"/>
            <w:vAlign w:val="center"/>
            <w:tcMar>
              <w:top w:w="70" w:type="dxa"/>
              <w:start w:w="80" w:type="dxa"/>
              <w:bottom w:w="70" w:type="dxa"/>
              <w:end w:w="80" w:type="dxa"/>
            </w:tcMar>
          </w:tcPr>
          <w:p>
            <w:pPr>
              <w:spacing w:after="0" w:line="240" w:lineRule="auto"/>
            </w:pPr>
            <w:r>
              <w:rPr>
                <w:sz w:val="17"/>
              </w:rPr>
              <w:t>No final non-dominated shortlist/gate evidence</w:t>
            </w:r>
          </w:p>
        </w:tc>
      </w:tr>
      <w:tr>
        <w:tc>
          <w:tcPr>
            <w:tcW w:type="dxa" w:w="3389"/>
            <w:vAlign w:val="center"/>
            <w:tcMar>
              <w:top w:w="70" w:type="dxa"/>
              <w:start w:w="80" w:type="dxa"/>
              <w:bottom w:w="70" w:type="dxa"/>
              <w:end w:w="80" w:type="dxa"/>
            </w:tcMar>
          </w:tcPr>
          <w:p>
            <w:pPr>
              <w:spacing w:after="0" w:line="240" w:lineRule="auto"/>
            </w:pPr>
            <w:r>
              <w:rPr>
                <w:sz w:val="17"/>
              </w:rPr>
              <w:t>Energy/Silero/WebRTC/Sherpa VAD and VADChunker</w:t>
            </w:r>
          </w:p>
        </w:tc>
        <w:tc>
          <w:tcPr>
            <w:tcW w:type="dxa" w:w="3389"/>
            <w:vAlign w:val="center"/>
            <w:tcMar>
              <w:top w:w="70" w:type="dxa"/>
              <w:start w:w="80" w:type="dxa"/>
              <w:bottom w:w="70" w:type="dxa"/>
              <w:end w:w="80" w:type="dxa"/>
            </w:tcMar>
          </w:tcPr>
          <w:p>
            <w:pPr>
              <w:spacing w:after="0" w:line="240" w:lineRule="auto"/>
            </w:pPr>
            <w:r>
              <w:rPr>
                <w:sz w:val="17"/>
              </w:rPr>
              <w:t>Excluded pending screening</w:t>
            </w:r>
          </w:p>
        </w:tc>
        <w:tc>
          <w:tcPr>
            <w:tcW w:type="dxa" w:w="3389"/>
            <w:vAlign w:val="center"/>
            <w:tcMar>
              <w:top w:w="70" w:type="dxa"/>
              <w:start w:w="80" w:type="dxa"/>
              <w:bottom w:w="70" w:type="dxa"/>
              <w:end w:w="80" w:type="dxa"/>
            </w:tcMar>
          </w:tcPr>
          <w:p>
            <w:pPr>
              <w:spacing w:after="0" w:line="240" w:lineRule="auto"/>
            </w:pPr>
            <w:r>
              <w:rPr>
                <w:sz w:val="17"/>
              </w:rPr>
              <w:t>Candidate is full-record reference only</w:t>
            </w:r>
          </w:p>
        </w:tc>
      </w:tr>
      <w:tr>
        <w:tc>
          <w:tcPr>
            <w:tcW w:type="dxa" w:w="3389"/>
            <w:vAlign w:val="center"/>
            <w:tcMar>
              <w:top w:w="70" w:type="dxa"/>
              <w:start w:w="80" w:type="dxa"/>
              <w:bottom w:w="70" w:type="dxa"/>
              <w:end w:w="80" w:type="dxa"/>
            </w:tcMar>
          </w:tcPr>
          <w:p>
            <w:pPr>
              <w:spacing w:after="0" w:line="240" w:lineRule="auto"/>
            </w:pPr>
            <w:r>
              <w:rPr>
                <w:sz w:val="17"/>
              </w:rPr>
              <w:t>ECAPA/Resemblyzer/WeSpeaker/Sherpa embeddings and cosine matching</w:t>
            </w:r>
          </w:p>
        </w:tc>
        <w:tc>
          <w:tcPr>
            <w:tcW w:type="dxa" w:w="3389"/>
            <w:vAlign w:val="center"/>
            <w:tcMar>
              <w:top w:w="70" w:type="dxa"/>
              <w:start w:w="80" w:type="dxa"/>
              <w:bottom w:w="70" w:type="dxa"/>
              <w:end w:w="80" w:type="dxa"/>
            </w:tcMar>
          </w:tcPr>
          <w:p>
            <w:pPr>
              <w:spacing w:after="0" w:line="240" w:lineRule="auto"/>
            </w:pPr>
            <w:r>
              <w:rPr>
                <w:sz w:val="17"/>
              </w:rPr>
              <w:t>Excluded</w:t>
            </w:r>
          </w:p>
        </w:tc>
        <w:tc>
          <w:tcPr>
            <w:tcW w:type="dxa" w:w="3389"/>
            <w:vAlign w:val="center"/>
            <w:tcMar>
              <w:top w:w="70" w:type="dxa"/>
              <w:start w:w="80" w:type="dxa"/>
              <w:bottom w:w="70" w:type="dxa"/>
              <w:end w:w="80" w:type="dxa"/>
            </w:tcMar>
          </w:tcPr>
          <w:p>
            <w:pPr>
              <w:spacing w:after="0" w:line="240" w:lineRule="auto"/>
            </w:pPr>
            <w:r>
              <w:rPr>
                <w:sz w:val="17"/>
              </w:rPr>
              <w:t>Backend-specific speaker protocol is a separate scientific run</w:t>
            </w:r>
          </w:p>
        </w:tc>
      </w:tr>
      <w:tr>
        <w:tc>
          <w:tcPr>
            <w:tcW w:type="dxa" w:w="3389"/>
            <w:vAlign w:val="center"/>
            <w:tcMar>
              <w:top w:w="70" w:type="dxa"/>
              <w:start w:w="80" w:type="dxa"/>
              <w:bottom w:w="70" w:type="dxa"/>
              <w:end w:w="80" w:type="dxa"/>
            </w:tcMar>
          </w:tcPr>
          <w:p>
            <w:pPr>
              <w:spacing w:after="0" w:line="240" w:lineRule="auto"/>
            </w:pPr>
            <w:r>
              <w:rPr>
                <w:sz w:val="17"/>
              </w:rPr>
              <w:t>Sherpa diarization</w:t>
            </w:r>
          </w:p>
        </w:tc>
        <w:tc>
          <w:tcPr>
            <w:tcW w:type="dxa" w:w="3389"/>
            <w:vAlign w:val="center"/>
            <w:tcMar>
              <w:top w:w="70" w:type="dxa"/>
              <w:start w:w="80" w:type="dxa"/>
              <w:bottom w:w="70" w:type="dxa"/>
              <w:end w:w="80" w:type="dxa"/>
            </w:tcMar>
          </w:tcPr>
          <w:p>
            <w:pPr>
              <w:spacing w:after="0" w:line="240" w:lineRule="auto"/>
            </w:pPr>
            <w:r>
              <w:rPr>
                <w:sz w:val="17"/>
              </w:rPr>
              <w:t>Excluded pending native-panel selection</w:t>
            </w:r>
          </w:p>
        </w:tc>
        <w:tc>
          <w:tcPr>
            <w:tcW w:type="dxa" w:w="3389"/>
            <w:vAlign w:val="center"/>
            <w:tcMar>
              <w:top w:w="70" w:type="dxa"/>
              <w:start w:w="80" w:type="dxa"/>
              <w:bottom w:w="70" w:type="dxa"/>
              <w:end w:w="80" w:type="dxa"/>
            </w:tcMar>
          </w:tcPr>
          <w:p>
            <w:pPr>
              <w:spacing w:after="0" w:line="240" w:lineRule="auto"/>
            </w:pPr>
            <w:r>
              <w:rPr>
                <w:sz w:val="17"/>
              </w:rPr>
              <w:t>No diarization scenarios in candidate</w:t>
            </w:r>
          </w:p>
        </w:tc>
      </w:tr>
      <w:tr>
        <w:tc>
          <w:tcPr>
            <w:tcW w:type="dxa" w:w="3389"/>
            <w:vAlign w:val="center"/>
            <w:tcMar>
              <w:top w:w="70" w:type="dxa"/>
              <w:start w:w="80" w:type="dxa"/>
              <w:bottom w:w="70" w:type="dxa"/>
              <w:end w:w="80" w:type="dxa"/>
            </w:tcMar>
          </w:tcPr>
          <w:p>
            <w:pPr>
              <w:spacing w:after="0" w:line="240" w:lineRule="auto"/>
            </w:pPr>
            <w:r>
              <w:rPr>
                <w:sz w:val="17"/>
              </w:rPr>
              <w:t>Pyannote/Falcon</w:t>
            </w:r>
          </w:p>
        </w:tc>
        <w:tc>
          <w:tcPr>
            <w:tcW w:type="dxa" w:w="3389"/>
            <w:vAlign w:val="center"/>
            <w:tcMar>
              <w:top w:w="70" w:type="dxa"/>
              <w:start w:w="80" w:type="dxa"/>
              <w:bottom w:w="70" w:type="dxa"/>
              <w:end w:w="80" w:type="dxa"/>
            </w:tcMar>
          </w:tcPr>
          <w:p>
            <w:pPr>
              <w:spacing w:after="0" w:line="240" w:lineRule="auto"/>
            </w:pPr>
            <w:r>
              <w:rPr>
                <w:sz w:val="17"/>
              </w:rPr>
              <w:t>Blocked/optional</w:t>
            </w:r>
          </w:p>
        </w:tc>
        <w:tc>
          <w:tcPr>
            <w:tcW w:type="dxa" w:w="3389"/>
            <w:vAlign w:val="center"/>
            <w:tcMar>
              <w:top w:w="70" w:type="dxa"/>
              <w:start w:w="80" w:type="dxa"/>
              <w:bottom w:w="70" w:type="dxa"/>
              <w:end w:w="80" w:type="dxa"/>
            </w:tcMar>
          </w:tcPr>
          <w:p>
            <w:pPr>
              <w:spacing w:after="0" w:line="240" w:lineRule="auto"/>
            </w:pPr>
            <w:r>
              <w:rPr>
                <w:sz w:val="17"/>
              </w:rPr>
              <w:t>Owner licence/credentials absent</w:t>
            </w:r>
          </w:p>
        </w:tc>
      </w:tr>
      <w:tr>
        <w:tc>
          <w:tcPr>
            <w:tcW w:type="dxa" w:w="3389"/>
            <w:vAlign w:val="center"/>
            <w:tcMar>
              <w:top w:w="70" w:type="dxa"/>
              <w:start w:w="80" w:type="dxa"/>
              <w:bottom w:w="70" w:type="dxa"/>
              <w:end w:w="80" w:type="dxa"/>
            </w:tcMar>
          </w:tcPr>
          <w:p>
            <w:pPr>
              <w:spacing w:after="0" w:line="240" w:lineRule="auto"/>
            </w:pPr>
            <w:r>
              <w:rPr>
                <w:sz w:val="17"/>
              </w:rPr>
              <w:t>NeMo</w:t>
            </w:r>
          </w:p>
        </w:tc>
        <w:tc>
          <w:tcPr>
            <w:tcW w:type="dxa" w:w="3389"/>
            <w:vAlign w:val="center"/>
            <w:tcMar>
              <w:top w:w="70" w:type="dxa"/>
              <w:start w:w="80" w:type="dxa"/>
              <w:bottom w:w="70" w:type="dxa"/>
              <w:end w:w="80" w:type="dxa"/>
            </w:tcMar>
          </w:tcPr>
          <w:p>
            <w:pPr>
              <w:spacing w:after="0" w:line="240" w:lineRule="auto"/>
            </w:pPr>
            <w:r>
              <w:rPr>
                <w:sz w:val="17"/>
              </w:rPr>
              <w:t>Blocked/optional</w:t>
            </w:r>
          </w:p>
        </w:tc>
        <w:tc>
          <w:tcPr>
            <w:tcW w:type="dxa" w:w="3389"/>
            <w:vAlign w:val="center"/>
            <w:tcMar>
              <w:top w:w="70" w:type="dxa"/>
              <w:start w:w="80" w:type="dxa"/>
              <w:bottom w:w="70" w:type="dxa"/>
              <w:end w:w="80" w:type="dxa"/>
            </w:tcMar>
          </w:tcPr>
          <w:p>
            <w:pPr>
              <w:spacing w:after="0" w:line="240" w:lineRule="auto"/>
            </w:pPr>
            <w:r>
              <w:rPr>
                <w:sz w:val="17"/>
              </w:rPr>
              <w:t>Linux/CUDA and active checkpoints unresolved</w:t>
            </w:r>
          </w:p>
        </w:tc>
      </w:tr>
      <w:tr>
        <w:tc>
          <w:tcPr>
            <w:tcW w:type="dxa" w:w="3389"/>
            <w:vAlign w:val="center"/>
            <w:tcMar>
              <w:top w:w="70" w:type="dxa"/>
              <w:start w:w="80" w:type="dxa"/>
              <w:bottom w:w="70" w:type="dxa"/>
              <w:end w:w="80" w:type="dxa"/>
            </w:tcMar>
          </w:tcPr>
          <w:p>
            <w:pPr>
              <w:spacing w:after="0" w:line="240" w:lineRule="auto"/>
            </w:pPr>
            <w:r>
              <w:rPr>
                <w:sz w:val="17"/>
              </w:rPr>
              <w:t>WeNet</w:t>
            </w:r>
          </w:p>
        </w:tc>
        <w:tc>
          <w:tcPr>
            <w:tcW w:type="dxa" w:w="3389"/>
            <w:vAlign w:val="center"/>
            <w:tcMar>
              <w:top w:w="70" w:type="dxa"/>
              <w:start w:w="80" w:type="dxa"/>
              <w:bottom w:w="70" w:type="dxa"/>
              <w:end w:w="80" w:type="dxa"/>
            </w:tcMar>
          </w:tcPr>
          <w:p>
            <w:pPr>
              <w:spacing w:after="0" w:line="240" w:lineRule="auto"/>
            </w:pPr>
            <w:r>
              <w:rPr>
                <w:sz w:val="17"/>
              </w:rPr>
              <w:t>Blocked/optional</w:t>
            </w:r>
          </w:p>
        </w:tc>
        <w:tc>
          <w:tcPr>
            <w:tcW w:type="dxa" w:w="3389"/>
            <w:vAlign w:val="center"/>
            <w:tcMar>
              <w:top w:w="70" w:type="dxa"/>
              <w:start w:w="80" w:type="dxa"/>
              <w:bottom w:w="70" w:type="dxa"/>
              <w:end w:w="80" w:type="dxa"/>
            </w:tcMar>
          </w:tcPr>
          <w:p>
            <w:pPr>
              <w:spacing w:after="0" w:line="240" w:lineRule="auto"/>
            </w:pPr>
            <w:r>
              <w:rPr>
                <w:sz w:val="17"/>
              </w:rPr>
              <w:t xml:space="preserve">Runtime-required </w:t>
            </w:r>
            <w:r>
              <w:rPr>
                <w:rFonts w:ascii="Consolas" w:hAnsi="Consolas"/>
                <w:color w:val="1F2937"/>
                <w:sz w:val="17"/>
              </w:rPr>
              <w:t>final.zip</w:t>
            </w:r>
            <w:r>
              <w:rPr>
                <w:sz w:val="17"/>
              </w:rPr>
              <w:t xml:space="preserve"> unavailable</w:t>
            </w:r>
          </w:p>
        </w:tc>
      </w:tr>
      <w:tr>
        <w:tc>
          <w:tcPr>
            <w:tcW w:type="dxa" w:w="3389"/>
            <w:vAlign w:val="center"/>
            <w:tcMar>
              <w:top w:w="70" w:type="dxa"/>
              <w:start w:w="80" w:type="dxa"/>
              <w:bottom w:w="70" w:type="dxa"/>
              <w:end w:w="80" w:type="dxa"/>
            </w:tcMar>
          </w:tcPr>
          <w:p>
            <w:pPr>
              <w:spacing w:after="0" w:line="240" w:lineRule="auto"/>
            </w:pPr>
            <w:r>
              <w:rPr>
                <w:sz w:val="17"/>
              </w:rPr>
              <w:t>Bedroom RIR</w:t>
            </w:r>
          </w:p>
        </w:tc>
        <w:tc>
          <w:tcPr>
            <w:tcW w:type="dxa" w:w="3389"/>
            <w:vAlign w:val="center"/>
            <w:tcMar>
              <w:top w:w="70" w:type="dxa"/>
              <w:start w:w="80" w:type="dxa"/>
              <w:bottom w:w="70" w:type="dxa"/>
              <w:end w:w="80" w:type="dxa"/>
            </w:tcMar>
          </w:tcPr>
          <w:p>
            <w:pPr>
              <w:spacing w:after="0" w:line="240" w:lineRule="auto"/>
            </w:pPr>
            <w:r>
              <w:rPr>
                <w:sz w:val="17"/>
              </w:rPr>
              <w:t>Blocked/excluded</w:t>
            </w:r>
          </w:p>
        </w:tc>
        <w:tc>
          <w:tcPr>
            <w:tcW w:type="dxa" w:w="3389"/>
            <w:vAlign w:val="center"/>
            <w:tcMar>
              <w:top w:w="70" w:type="dxa"/>
              <w:start w:w="80" w:type="dxa"/>
              <w:bottom w:w="70" w:type="dxa"/>
              <w:end w:w="80" w:type="dxa"/>
            </w:tcMar>
          </w:tcPr>
          <w:p>
            <w:pPr>
              <w:spacing w:after="0" w:line="240" w:lineRule="auto"/>
            </w:pPr>
            <w:r>
              <w:rPr>
                <w:sz w:val="17"/>
              </w:rPr>
              <w:t>Unresolved; no substitution allowed</w:t>
            </w:r>
          </w:p>
        </w:tc>
      </w:tr>
      <w:tr>
        <w:tc>
          <w:tcPr>
            <w:tcW w:type="dxa" w:w="3389"/>
            <w:vAlign w:val="center"/>
            <w:tcMar>
              <w:top w:w="70" w:type="dxa"/>
              <w:start w:w="80" w:type="dxa"/>
              <w:bottom w:w="70" w:type="dxa"/>
              <w:end w:w="80" w:type="dxa"/>
            </w:tcMar>
          </w:tcPr>
          <w:p>
            <w:pPr>
              <w:spacing w:after="0" w:line="240" w:lineRule="auto"/>
            </w:pPr>
            <w:r>
              <w:rPr>
                <w:sz w:val="17"/>
              </w:rPr>
              <w:t>CUDA and dual-job GPU concurrency</w:t>
            </w:r>
          </w:p>
        </w:tc>
        <w:tc>
          <w:tcPr>
            <w:tcW w:type="dxa" w:w="3389"/>
            <w:vAlign w:val="center"/>
            <w:tcMar>
              <w:top w:w="70" w:type="dxa"/>
              <w:start w:w="80" w:type="dxa"/>
              <w:bottom w:w="70" w:type="dxa"/>
              <w:end w:w="80" w:type="dxa"/>
            </w:tcMar>
          </w:tcPr>
          <w:p>
            <w:pPr>
              <w:spacing w:after="0" w:line="240" w:lineRule="auto"/>
            </w:pPr>
            <w:r>
              <w:rPr>
                <w:sz w:val="17"/>
              </w:rPr>
              <w:t>Deferred</w:t>
            </w:r>
          </w:p>
        </w:tc>
        <w:tc>
          <w:tcPr>
            <w:tcW w:type="dxa" w:w="3389"/>
            <w:vAlign w:val="center"/>
            <w:tcMar>
              <w:top w:w="70" w:type="dxa"/>
              <w:start w:w="80" w:type="dxa"/>
              <w:bottom w:w="70" w:type="dxa"/>
              <w:end w:w="80" w:type="dxa"/>
            </w:tcMar>
          </w:tcPr>
          <w:p>
            <w:pPr>
              <w:spacing w:after="0" w:line="240" w:lineRule="auto"/>
            </w:pPr>
            <w:r>
              <w:rPr>
                <w:sz w:val="17"/>
              </w:rPr>
              <w:t>Candidate is CPU; concurrency unqualified</w:t>
            </w:r>
          </w:p>
        </w:tc>
      </w:tr>
    </w:tbl>
    <w:p>
      <w:pPr>
        <w:spacing w:after="20"/>
      </w:pPr>
    </w:p>
    <w:p>
      <w:r>
        <w:t xml:space="preserve">Machine-readable coverage is </w:t>
      </w:r>
      <w:r>
        <w:rPr>
          <w:rFonts w:ascii="Consolas" w:hAnsi="Consolas"/>
          <w:color w:val="1F2937"/>
          <w:sz w:val="19"/>
        </w:rPr>
        <w:t>configs/automated_evaluation/launch_coverage.v1.json</w:t>
      </w:r>
      <w:r>
        <w:t>.</w:t>
      </w:r>
    </w:p>
    <w:p>
      <w:pPr>
        <w:pStyle w:val="Heading2"/>
      </w:pPr>
      <w:r>
        <w:t>Worker split, runtime, and storage</w:t>
      </w:r>
    </w:p>
    <w:p>
      <w:r>
        <w:t>Machine A provisionally owns 20 scenarios, 12,368 item executions, and 16.882998 hours; estimate 4.08 hours (3.46–6.24), with 2.15 GiB artifacts. Machine B provisionally owns 21, 13,430, and 16.837123 hours; estimate 4.07 hours (3.45–6.24), with 2.30 GiB artifacts. B's estimate reuses A's measured CPU rate and is not hardware evidence. Both assignments have global IDs, no overlap, and complete 41-scenario union.</w:t>
      </w:r>
    </w:p>
    <w:p>
      <w:r>
        <w:t xml:space="preserve">Run one scenario at a time. Status may be checked at any time. A controlled stop preserves partial work; resume through the worker wrapper with </w:t>
      </w:r>
      <w:r>
        <w:rPr>
          <w:rFonts w:ascii="Consolas" w:hAnsi="Consolas"/>
          <w:color w:val="1F2937"/>
          <w:sz w:val="19"/>
        </w:rPr>
        <w:t>-ResumeStopped</w:t>
      </w:r>
      <w:r>
        <w:t>. Export only after all assigned scenarios validate, or after a planned periodic checkpoint clearly labelled partial and not eligible for final merge. Contact the coordinator for repeated deterministic failures, checksum mismatch, unexpected model identity, output disk below reserve, or any pressure to change a result-affecting setting under the same scenario ID.</w:t>
      </w:r>
    </w:p>
    <w:p>
      <w:r>
        <w:t xml:space="preserve">Final completion means both complete transfer manifests validate, merge reports 41/41 with no conflicts/missing work, analysis reconciles all planned IDs, and the standard-gate prerequisite is passed. Operational commands are in </w:t>
      </w:r>
      <w:r>
        <w:rPr>
          <w:color w:val="1F4E79"/>
          <w:u w:val="single"/>
        </w:rPr>
        <w:t>the launch control sheet</w:t>
      </w:r>
      <w:r>
        <w:t xml:space="preserve"> and </w:t>
      </w:r>
      <w:r>
        <w:rPr>
          <w:color w:val="1F4E79"/>
          <w:u w:val="single"/>
        </w:rPr>
        <w:t>the two-machine runbook</w:t>
      </w:r>
      <w:r>
        <w:t>.</w:t>
      </w:r>
    </w:p>
    <w:sectPr w:rsidR="00FC693F" w:rsidRPr="0006063C" w:rsidSect="00034616">
      <w:pgSz w:w="12240" w:h="15840"/>
      <w:pgMar w:top="979" w:right="1037" w:bottom="979"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color w:val="5D6874"/>
        <w:sz w:val="16"/>
      </w:rPr>
      <w:t xml:space="preserve">massive_campaign_guide.md   •   </w:t>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ptos Display" w:hAnsi="Aptos Display"/>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Aptos Display" w:hAnsi="Aptos Display"/>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Aptos Display" w:hAnsi="Aptos Display"/>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ascii="Aptos Display" w:hAnsi="Aptos Display"/>
      <w:b/>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20" w:line="240" w:lineRule="auto"/>
      <w:ind w:left="173" w:right="173"/>
    </w:pPr>
    <w:rPr>
      <w:rFonts w:ascii="Consolas" w:hAnsi="Consolas"/>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