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jc w:val="center"/>
      </w:pPr>
      <w:r>
        <w:t>Open-Source Tool Comparison for a Real-Time Embedded Speech Pipeline</w:t>
      </w:r>
    </w:p>
    <w:p>
      <w:pPr>
        <w:pStyle w:val="ReportSubtitle"/>
        <w:jc w:val="center"/>
      </w:pPr>
      <w:r>
        <w:t>In-depth decision matrix and component-by-component review</w:t>
      </w:r>
    </w:p>
    <w:p>
      <w:pPr>
        <w:pStyle w:val="ReportSubtitle"/>
        <w:jc w:val="center"/>
      </w:pPr>
      <w:r>
        <w:t>Prepared for an embedded, low-power, real-time speech product evaluation</w:t>
      </w:r>
    </w:p>
    <w:p/>
    <w:tbl>
      <w:tblPr>
        <w:tblStyle w:val="TableGrid"/>
        <w:tblW w:type="auto" w:w="0"/>
        <w:jc w:val="center"/>
        <w:tblLook w:firstColumn="1" w:firstRow="1" w:lastColumn="0" w:lastRow="0" w:noHBand="0" w:noVBand="1" w:val="04A0"/>
      </w:tblPr>
      <w:tblGrid>
        <w:gridCol w:w="10080"/>
      </w:tblGrid>
      <w:tr>
        <w:tc>
          <w:tcPr>
            <w:tcW w:type="dxa" w:w="10080"/>
            <w:shd w:fill="F2F7FB"/>
            <w:tcMar>
              <w:top w:w="140" w:type="dxa"/>
              <w:start w:w="140" w:type="dxa"/>
              <w:bottom w:w="140" w:type="dxa"/>
              <w:end w:w="140" w:type="dxa"/>
            </w:tcMar>
          </w:tcPr>
          <w:p>
            <w:pPr>
              <w:pStyle w:val="BulletTight"/>
              <w:ind w:left="113" w:hanging="113"/>
            </w:pPr>
            <w:r>
              <w:t>Hard constraint: real-time or near-real-time operation with low-latency partial ASR and delayed speaker confirmation.</w:t>
            </w:r>
          </w:p>
          <w:p>
            <w:pPr>
              <w:pStyle w:val="BulletTight"/>
              <w:ind w:left="113" w:hanging="113"/>
            </w:pPr>
            <w:r>
              <w:t>Primary product goal: correct speech transcription plus conservative known-speaker naming; false named-speaker assignments are worse than Unknown.</w:t>
            </w:r>
          </w:p>
          <w:p>
            <w:pPr>
              <w:pStyle w:val="BulletTight"/>
              <w:ind w:left="113" w:hanging="113"/>
            </w:pPr>
            <w:r>
              <w:t>Equal-weight decision criteria: multi-microphone growth path, accuracy of speech and speaker labeling, commercial and redistribution clarity, embedded portability and power fit, and streaming latency with bounded jitter.</w:t>
            </w:r>
          </w:p>
          <w:p>
            <w:pPr>
              <w:pStyle w:val="BulletTight"/>
              <w:ind w:left="113" w:hanging="113"/>
            </w:pPr>
            <w:r>
              <w:t>Multilingual support is explicitly scored at zero weight in this document; it is discussed only as a future-looking note.</w:t>
            </w:r>
          </w:p>
          <w:p>
            <w:pPr>
              <w:pStyle w:val="BulletTight"/>
              <w:ind w:left="113" w:hanging="113"/>
            </w:pPr>
            <w:r>
              <w:t>The existing evaluation flow uses WAV/FLAC files today, but the live product should run from PCM microphone frames. This report therefore favors one shared pipeline with a file-replay source that emulates microphone streaming.</w:t>
            </w:r>
          </w:p>
        </w:tc>
      </w:tr>
    </w:tbl>
    <w:p/>
    <w:p>
      <w:pPr>
        <w:pStyle w:val="SmallNote"/>
        <w:jc w:val="center"/>
      </w:pPr>
      <w:r>
        <w:t>Scope note: this report compares open-source options only. Multilingual capability is discussed qualitatively but scored with zero weight, per the requested decision criteria.</w:t>
      </w:r>
    </w:p>
    <w:p>
      <w:r>
        <w:br w:type="page"/>
      </w:r>
    </w:p>
    <w:p>
      <w:pPr>
        <w:pStyle w:val="SectionHeading"/>
      </w:pPr>
      <w:r>
        <w:t>1. Executive summary</w:t>
      </w:r>
    </w:p>
    <w:p>
      <w:pPr/>
      <w:r>
        <w:t>For this product, the most important architectural decision is not a single model choice but the decision to build one shared streaming core. WAV and FLAC files used for evaluation should be decoded into PCM frames and fed into the same bounded ring-buffer pipeline that live microphones will use. That keeps offline evaluation honest: the exact same frame pacing, queueing, VAD state, ASR commit logic, and speaker-label timing are exercised in both modes.</w:t>
      </w:r>
    </w:p>
    <w:p>
      <w:pPr/>
      <w:r>
        <w:t>Across the compared open-source options, the strongest embedded-first direction is a pipeline centered on miniaudio or an equivalent thin capture/replay layer, a toggleable front-end stage, a bounded ring-buffer design, Sherpa-ONNX or direct Silero for VAD, Sherpa-ONNX or Vosk for streaming ASR depending on the size budget, and a speaker-naming path built around WeSpeaker, SpeechBrain, or Sherpa-ONNX speaker verification with conservative thresholding.</w:t>
      </w:r>
    </w:p>
    <w:tbl>
      <w:tblPr>
        <w:tblStyle w:val="TableGrid"/>
        <w:tblW w:type="auto" w:w="0"/>
        <w:jc w:val="center"/>
        <w:tblLook w:firstColumn="1" w:firstRow="1" w:lastColumn="0" w:lastRow="0" w:noHBand="0" w:noVBand="1" w:val="04A0"/>
      </w:tblPr>
      <w:tblGrid>
        <w:gridCol w:w="10080"/>
      </w:tblGrid>
      <w:tr>
        <w:tc>
          <w:tcPr>
            <w:tcW w:type="dxa" w:w="10080"/>
            <w:shd w:fill="EEF5FB"/>
            <w:tcMar>
              <w:top w:w="120" w:type="dxa"/>
              <w:start w:w="120" w:type="dxa"/>
              <w:bottom w:w="120" w:type="dxa"/>
              <w:end w:w="120" w:type="dxa"/>
            </w:tcMar>
          </w:tcPr>
          <w:p>
            <w:pPr>
              <w:pStyle w:val="ToolHeading"/>
            </w:pPr>
            <w:r>
              <w:t>Top-level conclusions</w:t>
            </w:r>
          </w:p>
          <w:p>
            <w:pPr>
              <w:pStyle w:val="BulletTight"/>
            </w:pPr>
            <w:r>
              <w:t>Use one PCM frame contract for both file replay and live microphones. Do not maintain one batch pipeline for files and a separate streaming pipeline for product behavior.</w:t>
            </w:r>
          </w:p>
          <w:p>
            <w:pPr>
              <w:pStyle w:val="BulletTight"/>
            </w:pPr>
            <w:r>
              <w:t>Keep denoising and any future array processing in a separate pre-VAD front-end block with a simple on/off switch at run start.</w:t>
            </w:r>
          </w:p>
          <w:p>
            <w:pPr>
              <w:pStyle w:val="BulletTight"/>
            </w:pPr>
            <w:r>
              <w:t>For VAD, modern ML quality points toward direct Silero or the Sherpa-ONNX wrapper; WebRTC VAD remains the smallest classic fallback.</w:t>
            </w:r>
          </w:p>
          <w:p>
            <w:pPr>
              <w:pStyle w:val="BulletTight"/>
            </w:pPr>
            <w:r>
              <w:t>For ASR, Sherpa-ONNX is the strongest embedded-first streaming candidate; Vosk is the smallest open-source fallback; WeNet is serious production ASR but a weaker fit for your specific portability target.</w:t>
            </w:r>
          </w:p>
          <w:p>
            <w:pPr>
              <w:pStyle w:val="BulletTight"/>
            </w:pPr>
            <w:r>
              <w:t>For speaker naming, a calibrated enrollment-and-thresholding design matters more than the raw library brand. Multiple short enrollment prompts plus Unknown fallback are mandatory.</w:t>
            </w:r>
          </w:p>
          <w:p>
            <w:pPr>
              <w:pStyle w:val="BulletTight"/>
            </w:pPr>
            <w:r>
              <w:t>For the first embedded product pass, you still need segmentation, but you do not need full diarization unless overlap and unknown-speaker structure become dominant failure modes.</w:t>
            </w:r>
          </w:p>
        </w:tc>
      </w:tr>
    </w:tbl>
    <w:p/>
    <w:p>
      <w:pPr>
        <w:pStyle w:val="SectionHeading"/>
      </w:pPr>
      <w:r>
        <w:t>2. Evaluation frame and scoring rules</w:t>
      </w:r>
    </w:p>
    <w:p>
      <w:pPr/>
      <w:r>
        <w:t>Every component in this report is scored on a 1-5 scale against the same five weighted criteria. Each criterion carries the same weight. Multilingual support is intentionally excluded from the score, because it was explicitly given zero weight for this decision round.</w:t>
      </w:r>
    </w:p>
    <w:tbl>
      <w:tblPr>
        <w:tblStyle w:val="TableGrid"/>
        <w:tblW w:type="auto" w:w="0"/>
        <w:jc w:val="center"/>
        <w:tblLook w:firstColumn="1" w:firstRow="1" w:lastColumn="0" w:lastRow="0" w:noHBand="0" w:noVBand="1" w:val="04A0"/>
      </w:tblPr>
      <w:tblGrid>
        <w:gridCol w:w="3360"/>
        <w:gridCol w:w="3360"/>
        <w:gridCol w:w="3360"/>
      </w:tblGrid>
      <w:tr>
        <w:tc>
          <w:tcPr>
            <w:tcW w:type="dxa" w:w="3360"/>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Criterion</w:t>
            </w:r>
          </w:p>
        </w:tc>
        <w:tc>
          <w:tcPr>
            <w:tcW w:type="dxa" w:w="3360"/>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Weight</w:t>
            </w:r>
          </w:p>
        </w:tc>
        <w:tc>
          <w:tcPr>
            <w:tcW w:type="dxa" w:w="3360"/>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Interpretation for this project</w:t>
            </w:r>
          </w:p>
        </w:tc>
      </w:tr>
      <w:tr>
        <w:tc>
          <w:tcPr>
            <w:tcW w:type="dxa" w:w="3360"/>
            <w:tcMar>
              <w:top w:w="80" w:type="dxa"/>
              <w:start w:w="90" w:type="dxa"/>
              <w:bottom w:w="80" w:type="dxa"/>
              <w:end w:w="90" w:type="dxa"/>
            </w:tcMar>
            <w:vAlign w:val="center"/>
            <w:shd w:fill="F7FAFC"/>
          </w:tcPr>
          <w:p>
            <w:pPr>
              <w:spacing w:after="20" w:before="0" w:line="240" w:lineRule="auto"/>
              <w:jc w:val="left"/>
            </w:pPr>
            <w:r>
              <w:rPr>
                <w:rFonts w:ascii="Aptos" w:hAnsi="Aptos"/>
                <w:b/>
                <w:sz w:val="17"/>
              </w:rPr>
              <w:t>Multi-microphone growth path</w:t>
            </w:r>
          </w:p>
        </w:tc>
        <w:tc>
          <w:tcPr>
            <w:tcW w:type="dxa" w:w="3360"/>
            <w:tcMar>
              <w:top w:w="80" w:type="dxa"/>
              <w:start w:w="90" w:type="dxa"/>
              <w:bottom w:w="80" w:type="dxa"/>
              <w:end w:w="90" w:type="dxa"/>
            </w:tcMar>
            <w:vAlign w:val="center"/>
            <w:shd w:fill="F7FAFC"/>
          </w:tcPr>
          <w:p>
            <w:pPr>
              <w:spacing w:after="20" w:before="0" w:line="240" w:lineRule="auto"/>
              <w:jc w:val="left"/>
            </w:pPr>
            <w:r>
              <w:rPr>
                <w:rFonts w:ascii="Aptos" w:hAnsi="Aptos"/>
                <w:sz w:val="17"/>
              </w:rPr>
              <w:t>20%</w:t>
            </w:r>
          </w:p>
        </w:tc>
        <w:tc>
          <w:tcPr>
            <w:tcW w:type="dxa" w:w="3360"/>
            <w:tcMar>
              <w:top w:w="80" w:type="dxa"/>
              <w:start w:w="90" w:type="dxa"/>
              <w:bottom w:w="80" w:type="dxa"/>
              <w:end w:w="90" w:type="dxa"/>
            </w:tcMar>
            <w:vAlign w:val="center"/>
            <w:shd w:fill="F7FAFC"/>
          </w:tcPr>
          <w:p>
            <w:pPr>
              <w:spacing w:after="20" w:before="0" w:line="240" w:lineRule="auto"/>
              <w:jc w:val="left"/>
            </w:pPr>
            <w:r>
              <w:rPr>
                <w:rFonts w:ascii="Aptos" w:hAnsi="Aptos"/>
                <w:sz w:val="17"/>
              </w:rPr>
              <w:t>How naturally the option can preserve channel information now and support beamforming / array processing later.</w:t>
            </w:r>
          </w:p>
        </w:tc>
      </w:tr>
      <w:tr>
        <w:tc>
          <w:tcPr>
            <w:tcW w:type="dxa" w:w="3360"/>
            <w:tcMar>
              <w:top w:w="80" w:type="dxa"/>
              <w:start w:w="90" w:type="dxa"/>
              <w:bottom w:w="80" w:type="dxa"/>
              <w:end w:w="90" w:type="dxa"/>
            </w:tcMar>
            <w:vAlign w:val="center"/>
          </w:tcPr>
          <w:p>
            <w:pPr>
              <w:spacing w:after="20" w:before="0" w:line="240" w:lineRule="auto"/>
              <w:jc w:val="left"/>
            </w:pPr>
            <w:r>
              <w:rPr>
                <w:rFonts w:ascii="Aptos" w:hAnsi="Aptos"/>
                <w:b/>
                <w:sz w:val="17"/>
              </w:rPr>
              <w:t>Accuracy of speech and speaker labeling</w:t>
            </w:r>
          </w:p>
        </w:tc>
        <w:tc>
          <w:tcPr>
            <w:tcW w:type="dxa" w:w="3360"/>
            <w:tcMar>
              <w:top w:w="80" w:type="dxa"/>
              <w:start w:w="90" w:type="dxa"/>
              <w:bottom w:w="80" w:type="dxa"/>
              <w:end w:w="90" w:type="dxa"/>
            </w:tcMar>
            <w:vAlign w:val="center"/>
          </w:tcPr>
          <w:p>
            <w:pPr>
              <w:spacing w:after="20" w:before="0" w:line="240" w:lineRule="auto"/>
              <w:jc w:val="left"/>
            </w:pPr>
            <w:r>
              <w:rPr>
                <w:rFonts w:ascii="Aptos" w:hAnsi="Aptos"/>
                <w:sz w:val="17"/>
              </w:rPr>
              <w:t>20%</w:t>
            </w:r>
          </w:p>
        </w:tc>
        <w:tc>
          <w:tcPr>
            <w:tcW w:type="dxa" w:w="3360"/>
            <w:tcMar>
              <w:top w:w="80" w:type="dxa"/>
              <w:start w:w="90" w:type="dxa"/>
              <w:bottom w:w="80" w:type="dxa"/>
              <w:end w:w="90" w:type="dxa"/>
            </w:tcMar>
            <w:vAlign w:val="center"/>
          </w:tcPr>
          <w:p>
            <w:pPr>
              <w:spacing w:after="20" w:before="0" w:line="240" w:lineRule="auto"/>
              <w:jc w:val="left"/>
            </w:pPr>
            <w:r>
              <w:rPr>
                <w:rFonts w:ascii="Aptos" w:hAnsi="Aptos"/>
                <w:sz w:val="17"/>
              </w:rPr>
              <w:t>Speech quality plus how well the option supports conservative enrolled-speaker naming rather than mislabeling.</w:t>
            </w:r>
          </w:p>
        </w:tc>
      </w:tr>
      <w:tr>
        <w:tc>
          <w:tcPr>
            <w:tcW w:type="dxa" w:w="3360"/>
            <w:tcMar>
              <w:top w:w="80" w:type="dxa"/>
              <w:start w:w="90" w:type="dxa"/>
              <w:bottom w:w="80" w:type="dxa"/>
              <w:end w:w="90" w:type="dxa"/>
            </w:tcMar>
            <w:vAlign w:val="center"/>
            <w:shd w:fill="F7FAFC"/>
          </w:tcPr>
          <w:p>
            <w:pPr>
              <w:spacing w:after="20" w:before="0" w:line="240" w:lineRule="auto"/>
              <w:jc w:val="left"/>
            </w:pPr>
            <w:r>
              <w:rPr>
                <w:rFonts w:ascii="Aptos" w:hAnsi="Aptos"/>
                <w:b/>
                <w:sz w:val="17"/>
              </w:rPr>
              <w:t>Commercial / redistribution clarity</w:t>
            </w:r>
          </w:p>
        </w:tc>
        <w:tc>
          <w:tcPr>
            <w:tcW w:type="dxa" w:w="3360"/>
            <w:tcMar>
              <w:top w:w="80" w:type="dxa"/>
              <w:start w:w="90" w:type="dxa"/>
              <w:bottom w:w="80" w:type="dxa"/>
              <w:end w:w="90" w:type="dxa"/>
            </w:tcMar>
            <w:vAlign w:val="center"/>
            <w:shd w:fill="F7FAFC"/>
          </w:tcPr>
          <w:p>
            <w:pPr>
              <w:spacing w:after="20" w:before="0" w:line="240" w:lineRule="auto"/>
              <w:jc w:val="left"/>
            </w:pPr>
            <w:r>
              <w:rPr>
                <w:rFonts w:ascii="Aptos" w:hAnsi="Aptos"/>
                <w:sz w:val="17"/>
              </w:rPr>
              <w:t>20%</w:t>
            </w:r>
          </w:p>
        </w:tc>
        <w:tc>
          <w:tcPr>
            <w:tcW w:type="dxa" w:w="3360"/>
            <w:tcMar>
              <w:top w:w="80" w:type="dxa"/>
              <w:start w:w="90" w:type="dxa"/>
              <w:bottom w:w="80" w:type="dxa"/>
              <w:end w:w="90" w:type="dxa"/>
            </w:tcMar>
            <w:vAlign w:val="center"/>
            <w:shd w:fill="F7FAFC"/>
          </w:tcPr>
          <w:p>
            <w:pPr>
              <w:spacing w:after="20" w:before="0" w:line="240" w:lineRule="auto"/>
              <w:jc w:val="left"/>
            </w:pPr>
            <w:r>
              <w:rPr>
                <w:rFonts w:ascii="Aptos" w:hAnsi="Aptos"/>
                <w:sz w:val="17"/>
              </w:rPr>
              <w:t>Code license clarity plus how easy it is to vet the shipped model artifact for redistribution.</w:t>
            </w:r>
          </w:p>
        </w:tc>
      </w:tr>
      <w:tr>
        <w:tc>
          <w:tcPr>
            <w:tcW w:type="dxa" w:w="3360"/>
            <w:tcMar>
              <w:top w:w="80" w:type="dxa"/>
              <w:start w:w="90" w:type="dxa"/>
              <w:bottom w:w="80" w:type="dxa"/>
              <w:end w:w="90" w:type="dxa"/>
            </w:tcMar>
            <w:vAlign w:val="center"/>
          </w:tcPr>
          <w:p>
            <w:pPr>
              <w:spacing w:after="20" w:before="0" w:line="240" w:lineRule="auto"/>
              <w:jc w:val="left"/>
            </w:pPr>
            <w:r>
              <w:rPr>
                <w:rFonts w:ascii="Aptos" w:hAnsi="Aptos"/>
                <w:b/>
                <w:sz w:val="17"/>
              </w:rPr>
              <w:t>Embedded portability / power fit</w:t>
            </w:r>
          </w:p>
        </w:tc>
        <w:tc>
          <w:tcPr>
            <w:tcW w:type="dxa" w:w="3360"/>
            <w:tcMar>
              <w:top w:w="80" w:type="dxa"/>
              <w:start w:w="90" w:type="dxa"/>
              <w:bottom w:w="80" w:type="dxa"/>
              <w:end w:w="90" w:type="dxa"/>
            </w:tcMar>
            <w:vAlign w:val="center"/>
          </w:tcPr>
          <w:p>
            <w:pPr>
              <w:spacing w:after="20" w:before="0" w:line="240" w:lineRule="auto"/>
              <w:jc w:val="left"/>
            </w:pPr>
            <w:r>
              <w:rPr>
                <w:rFonts w:ascii="Aptos" w:hAnsi="Aptos"/>
                <w:sz w:val="17"/>
              </w:rPr>
              <w:t>20%</w:t>
            </w:r>
          </w:p>
        </w:tc>
        <w:tc>
          <w:tcPr>
            <w:tcW w:type="dxa" w:w="3360"/>
            <w:tcMar>
              <w:top w:w="80" w:type="dxa"/>
              <w:start w:w="90" w:type="dxa"/>
              <w:bottom w:w="80" w:type="dxa"/>
              <w:end w:w="90" w:type="dxa"/>
            </w:tcMar>
            <w:vAlign w:val="center"/>
          </w:tcPr>
          <w:p>
            <w:pPr>
              <w:spacing w:after="20" w:before="0" w:line="240" w:lineRule="auto"/>
              <w:jc w:val="left"/>
            </w:pPr>
            <w:r>
              <w:rPr>
                <w:rFonts w:ascii="Aptos" w:hAnsi="Aptos"/>
                <w:sz w:val="17"/>
              </w:rPr>
              <w:t>How plausible the option is for ARM, Raspberry Pi, or later custom low-power targets.</w:t>
            </w:r>
          </w:p>
        </w:tc>
      </w:tr>
      <w:tr>
        <w:tc>
          <w:tcPr>
            <w:tcW w:type="dxa" w:w="3360"/>
            <w:tcMar>
              <w:top w:w="80" w:type="dxa"/>
              <w:start w:w="90" w:type="dxa"/>
              <w:bottom w:w="80" w:type="dxa"/>
              <w:end w:w="90" w:type="dxa"/>
            </w:tcMar>
            <w:vAlign w:val="center"/>
            <w:shd w:fill="F7FAFC"/>
          </w:tcPr>
          <w:p>
            <w:pPr>
              <w:spacing w:after="20" w:before="0" w:line="240" w:lineRule="auto"/>
              <w:jc w:val="left"/>
            </w:pPr>
            <w:r>
              <w:rPr>
                <w:rFonts w:ascii="Aptos" w:hAnsi="Aptos"/>
                <w:b/>
                <w:sz w:val="17"/>
              </w:rPr>
              <w:t>Streaming latency / bounded jitter</w:t>
            </w:r>
          </w:p>
        </w:tc>
        <w:tc>
          <w:tcPr>
            <w:tcW w:type="dxa" w:w="3360"/>
            <w:tcMar>
              <w:top w:w="80" w:type="dxa"/>
              <w:start w:w="90" w:type="dxa"/>
              <w:bottom w:w="80" w:type="dxa"/>
              <w:end w:w="90" w:type="dxa"/>
            </w:tcMar>
            <w:vAlign w:val="center"/>
            <w:shd w:fill="F7FAFC"/>
          </w:tcPr>
          <w:p>
            <w:pPr>
              <w:spacing w:after="20" w:before="0" w:line="240" w:lineRule="auto"/>
              <w:jc w:val="left"/>
            </w:pPr>
            <w:r>
              <w:rPr>
                <w:rFonts w:ascii="Aptos" w:hAnsi="Aptos"/>
                <w:sz w:val="17"/>
              </w:rPr>
              <w:t>20%</w:t>
            </w:r>
          </w:p>
        </w:tc>
        <w:tc>
          <w:tcPr>
            <w:tcW w:type="dxa" w:w="3360"/>
            <w:tcMar>
              <w:top w:w="80" w:type="dxa"/>
              <w:start w:w="90" w:type="dxa"/>
              <w:bottom w:w="80" w:type="dxa"/>
              <w:end w:w="90" w:type="dxa"/>
            </w:tcMar>
            <w:vAlign w:val="center"/>
            <w:shd w:fill="F7FAFC"/>
          </w:tcPr>
          <w:p>
            <w:pPr>
              <w:spacing w:after="20" w:before="0" w:line="240" w:lineRule="auto"/>
              <w:jc w:val="left"/>
            </w:pPr>
            <w:r>
              <w:rPr>
                <w:rFonts w:ascii="Aptos" w:hAnsi="Aptos"/>
                <w:sz w:val="17"/>
              </w:rPr>
              <w:t>Whether the option is comfortable in a low-latency streaming pipeline and behaves predictably under queue and callback deadlines.</w:t>
            </w:r>
          </w:p>
        </w:tc>
      </w:tr>
      <w:tr>
        <w:tc>
          <w:tcPr>
            <w:tcW w:type="dxa" w:w="3360"/>
            <w:tcMar>
              <w:top w:w="80" w:type="dxa"/>
              <w:start w:w="90" w:type="dxa"/>
              <w:bottom w:w="80" w:type="dxa"/>
              <w:end w:w="90" w:type="dxa"/>
            </w:tcMar>
            <w:vAlign w:val="center"/>
          </w:tcPr>
          <w:p>
            <w:pPr>
              <w:spacing w:after="20" w:before="0" w:line="240" w:lineRule="auto"/>
              <w:jc w:val="left"/>
            </w:pPr>
            <w:r>
              <w:rPr>
                <w:rFonts w:ascii="Aptos" w:hAnsi="Aptos"/>
                <w:b/>
                <w:sz w:val="17"/>
              </w:rPr>
              <w:t>Multilingual capability</w:t>
            </w:r>
          </w:p>
        </w:tc>
        <w:tc>
          <w:tcPr>
            <w:tcW w:type="dxa" w:w="3360"/>
            <w:tcMar>
              <w:top w:w="80" w:type="dxa"/>
              <w:start w:w="90" w:type="dxa"/>
              <w:bottom w:w="80" w:type="dxa"/>
              <w:end w:w="90" w:type="dxa"/>
            </w:tcMar>
            <w:vAlign w:val="center"/>
          </w:tcPr>
          <w:p>
            <w:pPr>
              <w:spacing w:after="20" w:before="0" w:line="240" w:lineRule="auto"/>
              <w:jc w:val="left"/>
            </w:pPr>
            <w:r>
              <w:rPr>
                <w:rFonts w:ascii="Aptos" w:hAnsi="Aptos"/>
                <w:sz w:val="17"/>
              </w:rPr>
              <w:t>0%</w:t>
            </w:r>
          </w:p>
        </w:tc>
        <w:tc>
          <w:tcPr>
            <w:tcW w:type="dxa" w:w="3360"/>
            <w:tcMar>
              <w:top w:w="80" w:type="dxa"/>
              <w:start w:w="90" w:type="dxa"/>
              <w:bottom w:w="80" w:type="dxa"/>
              <w:end w:w="90" w:type="dxa"/>
            </w:tcMar>
            <w:vAlign w:val="center"/>
          </w:tcPr>
          <w:p>
            <w:pPr>
              <w:spacing w:after="20" w:before="0" w:line="240" w:lineRule="auto"/>
              <w:jc w:val="left"/>
            </w:pPr>
            <w:r>
              <w:rPr>
                <w:rFonts w:ascii="Aptos" w:hAnsi="Aptos"/>
                <w:sz w:val="17"/>
              </w:rPr>
              <w:t>Documented qualitatively only; not part of the weighted score.</w:t>
            </w:r>
          </w:p>
        </w:tc>
      </w:tr>
    </w:tbl>
    <w:p>
      <w:pPr/>
      <w:r>
        <w:t>Important interpretation rule: the 'accuracy of speech and speaker labeling' criterion is not just raw ASR quality. It also includes whether the component makes conservative speaker naming practical. A tool that pushes the system toward wrong named-speaker assignments should be penalized even if it produces strong aggregate metrics elsewhere.</w:t>
      </w:r>
    </w:p>
    <w:tbl>
      <w:tblPr>
        <w:tblStyle w:val="TableGrid"/>
        <w:tblW w:type="auto" w:w="0"/>
        <w:jc w:val="center"/>
        <w:tblLook w:firstColumn="1" w:firstRow="1" w:lastColumn="0" w:lastRow="0" w:noHBand="0" w:noVBand="1" w:val="04A0"/>
      </w:tblPr>
      <w:tblGrid>
        <w:gridCol w:w="10080"/>
      </w:tblGrid>
      <w:tr>
        <w:tc>
          <w:tcPr>
            <w:tcW w:type="dxa" w:w="10080"/>
            <w:shd w:fill="F8FBFD"/>
            <w:tcMar>
              <w:top w:w="120" w:type="dxa"/>
              <w:start w:w="120" w:type="dxa"/>
              <w:bottom w:w="120" w:type="dxa"/>
              <w:end w:w="120" w:type="dxa"/>
            </w:tcMar>
          </w:tcPr>
          <w:p>
            <w:pPr>
              <w:pStyle w:val="ToolHeading"/>
            </w:pPr>
            <w:r>
              <w:t>Scoring scale</w:t>
            </w:r>
          </w:p>
          <w:p>
            <w:pPr>
              <w:pStyle w:val="BulletTight"/>
            </w:pPr>
            <w:r>
              <w:t>5 = strongest fit for this exact project profile.</w:t>
            </w:r>
          </w:p>
          <w:p>
            <w:pPr>
              <w:pStyle w:val="BulletTight"/>
            </w:pPr>
            <w:r>
              <w:t>4 = strong fit with manageable caveats.</w:t>
            </w:r>
          </w:p>
          <w:p>
            <w:pPr>
              <w:pStyle w:val="BulletTight"/>
            </w:pPr>
            <w:r>
              <w:t>3 = workable, but important trade-offs remain.</w:t>
            </w:r>
          </w:p>
          <w:p>
            <w:pPr>
              <w:pStyle w:val="BulletTight"/>
            </w:pPr>
            <w:r>
              <w:t>2 = usable only as a fallback or for a narrow phase.</w:t>
            </w:r>
          </w:p>
          <w:p>
            <w:pPr>
              <w:pStyle w:val="BulletTight"/>
            </w:pPr>
            <w:r>
              <w:t>1 = poor fit for the target product direction.</w:t>
            </w:r>
          </w:p>
        </w:tc>
      </w:tr>
    </w:tbl>
    <w:p>
      <w:pPr>
        <w:pStyle w:val="SectionHeading"/>
      </w:pPr>
      <w:r>
        <w:t>3. Shared stream contract: file ingest, PCM replay, and bounded ring buffers</w:t>
      </w:r>
    </w:p>
    <w:p>
      <w:pPr/>
      <w:r>
        <w:t>This layer exists so that evaluation files today and live microphone streams tomorrow both drive the same streaming pipeline. The key recommendation is to normalize everything into PCM frame batches with timestamps. WAV and FLAC inputs should not be handled by a special batch-only path; instead, they should be decoded into small PCM frames and pushed through the same producer-consumer queues used for live capture.</w:t>
      </w:r>
    </w:p>
    <w:p>
      <w:pPr>
        <w:pStyle w:val="BulletTight"/>
      </w:pPr>
      <w:r>
        <w:t>Replay mode should support at least two pacing modes: a wall-clock mode that mimics microphone timing for latency testing, and a deterministic accelerated mode for fast regression runs.</w:t>
      </w:r>
    </w:p>
    <w:p>
      <w:pPr>
        <w:pStyle w:val="BulletTight"/>
      </w:pPr>
      <w:r>
        <w:t>The downstream interface should carry timestamp, sample rate, channel count, frame count, and source identifier. That lets you preserve multi-microphone growth even when early experiments use only mono data.</w:t>
      </w:r>
    </w:p>
    <w:p>
      <w:pPr>
        <w:pStyle w:val="BulletTight"/>
      </w:pPr>
      <w:r>
        <w:t>For offline evaluation, FLAC does not need to be converted to WAV on disk first. A decoder can emit PCM frames directly into the replay queue, which better matches the real product contract and removes a conversion step.</w:t>
      </w:r>
    </w:p>
    <w:tbl>
      <w:tblPr>
        <w:tblStyle w:val="TableGrid"/>
        <w:tblW w:type="auto" w:w="0"/>
        <w:jc w:val="center"/>
        <w:tblLook w:firstColumn="1" w:firstRow="1" w:lastColumn="0" w:lastRow="0" w:noHBand="0" w:noVBand="1" w:val="04A0"/>
      </w:tblPr>
      <w:tblGrid>
        <w:gridCol w:w="10080"/>
      </w:tblGrid>
      <w:tr>
        <w:tc>
          <w:tcPr>
            <w:tcW w:type="dxa" w:w="10080"/>
            <w:shd w:fill="EDF6F2"/>
            <w:tcMar>
              <w:top w:w="120" w:type="dxa"/>
              <w:start w:w="120" w:type="dxa"/>
              <w:bottom w:w="120" w:type="dxa"/>
              <w:end w:w="120" w:type="dxa"/>
            </w:tcMar>
          </w:tcPr>
          <w:p>
            <w:pPr>
              <w:pStyle w:val="ToolHeading"/>
            </w:pPr>
            <w:r>
              <w:t>What a bounded ring buffer is and why it matters</w:t>
            </w:r>
          </w:p>
          <w:p>
            <w:pPr>
              <w:pStyle w:val="BulletTight"/>
            </w:pPr>
            <w:r>
              <w:t>A ring buffer is a fixed-size circular queue with separate producer and consumer positions. New audio is written at the producer cursor and read at the consumer cursor; when the end of the buffer is reached, the cursor wraps around.</w:t>
            </w:r>
          </w:p>
          <w:p>
            <w:pPr>
              <w:pStyle w:val="BulletTight"/>
            </w:pPr>
            <w:r>
              <w:t>Bounded means the capacity is fixed. That is not a limitation; it is exactly what prevents hidden failure. If inference falls behind, latency cannot grow without limit. Instead, you detect pressure early by queue occupancy and overrun counters.</w:t>
            </w:r>
          </w:p>
          <w:p>
            <w:pPr>
              <w:pStyle w:val="BulletTight"/>
            </w:pPr>
            <w:r>
              <w:t>In a real-time audio pipeline, the capture callback must never wait on slow inference. The callback should push frames into a bounded queue and return immediately. Inference stages read from the queue on separate threads or processes.</w:t>
            </w:r>
          </w:p>
          <w:p>
            <w:pPr>
              <w:pStyle w:val="BulletTight"/>
            </w:pPr>
            <w:r>
              <w:t>For live input, choose an explicit overload policy: drop newest, overwrite oldest, or mark data loss and continue. For file replay, you can optionally pause the producer because there is no real ADC deadline.</w:t>
            </w:r>
          </w:p>
          <w:p>
            <w:pPr>
              <w:pStyle w:val="BulletTight"/>
            </w:pPr>
            <w:r>
              <w:t>A bounded ring buffer is one of the few components where custom generated code is entirely reasonable. This logic is small, testable, and peripheral to the ML models. It is a much better candidate for in-house code than ASR or speaker embeddings.</w:t>
            </w:r>
          </w:p>
        </w:tc>
      </w:tr>
    </w:tbl>
    <w:p>
      <w:pPr>
        <w:pStyle w:val="SubsectionHeading"/>
      </w:pPr>
      <w:r>
        <w:t>3.1 Recommended shared PCM contract</w:t>
      </w:r>
    </w:p>
    <w:p>
      <w:pPr/>
      <w:r>
        <w:t>A practical contract is a frame batch of 10 ms or 20 ms. That is short enough for VAD and partial updates, but long enough to keep callback overhead and queue traffic manageable. The product can then maintain small real-time buffers while ASR and speaker stages accumulate larger windows when they need them.</w:t>
      </w:r>
    </w:p>
    <w:tbl>
      <w:tblPr>
        <w:tblStyle w:val="TableGrid"/>
        <w:tblW w:type="auto" w:w="0"/>
        <w:jc w:val="center"/>
        <w:tblLook w:firstColumn="1" w:firstRow="1" w:lastColumn="0" w:lastRow="0" w:noHBand="0" w:noVBand="1" w:val="04A0"/>
      </w:tblPr>
      <w:tblGrid>
        <w:gridCol w:w="10080"/>
      </w:tblGrid>
      <w:tr>
        <w:tc>
          <w:tcPr>
            <w:tcW w:type="dxa" w:w="10080"/>
            <w:shd w:fill="F4F8FC"/>
            <w:tcMar>
              <w:top w:w="120" w:type="dxa"/>
              <w:start w:w="120" w:type="dxa"/>
              <w:bottom w:w="120" w:type="dxa"/>
              <w:end w:w="120" w:type="dxa"/>
            </w:tcMar>
          </w:tcPr>
          <w:p>
            <w:pPr>
              <w:pStyle w:val="ToolHeading"/>
            </w:pPr>
            <w:r>
              <w:t>Suggested design contract</w:t>
            </w:r>
          </w:p>
          <w:p>
            <w:pPr>
              <w:pStyle w:val="BulletTight"/>
            </w:pPr>
            <w:r>
              <w:t>Input source -&gt; PCM frame decoder/capture -&gt; bounded ingress ring buffer -&gt; optional front-end block -&gt; VAD -&gt; ASR partials/finals -&gt; speaker embedding and matching -&gt; transcript assembly.</w:t>
            </w:r>
          </w:p>
          <w:p>
            <w:pPr>
              <w:pStyle w:val="BulletTight"/>
            </w:pPr>
            <w:r>
              <w:t>A file-replay source and a microphone source should only differ in how they produce PCM frames. All other blocks should stay identical.</w:t>
            </w:r>
          </w:p>
          <w:p>
            <w:pPr>
              <w:pStyle w:val="BulletTight"/>
            </w:pPr>
            <w:r>
              <w:t>Preserve channels in the input contract now, even if the first deployable configuration uses a beamformed or selected mono channel.</w:t>
            </w:r>
          </w:p>
        </w:tc>
      </w:tr>
    </w:tbl>
    <w:p>
      <w:pPr>
        <w:pStyle w:val="SubsectionHeading"/>
      </w:pPr>
      <w:r>
        <w:t>Input streaming and file-ingest scorecard</w:t>
      </w:r>
    </w:p>
    <w:p>
      <w:pPr>
        <w:sectPr>
          <w:pgSz w:w="12240" w:h="15840"/>
          <w:pgMar w:top="1008" w:right="1080" w:bottom="1008" w:left="1080" w:header="720" w:footer="720" w:gutter="0"/>
          <w:cols w:space="720"/>
          <w:docGrid w:linePitch="360"/>
        </w:sectPr>
      </w:pPr>
    </w:p>
    <w:p>
      <w:pPr>
        <w:pStyle w:val="SubsectionHeading"/>
      </w:pPr>
      <w:r>
        <w:t>Input streaming and file-ingest scorecard</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c>
          <w:tcPr>
            <w:tcW w:type="dxa" w:w="2880"/>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Option</w:t>
            </w:r>
          </w:p>
        </w:tc>
        <w:tc>
          <w:tcPr>
            <w:tcW w:type="dxa" w:w="1152"/>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Multi-mic</w:t>
            </w:r>
          </w:p>
        </w:tc>
        <w:tc>
          <w:tcPr>
            <w:tcW w:type="dxa" w:w="129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Accuracy / naming</w:t>
            </w:r>
          </w:p>
        </w:tc>
        <w:tc>
          <w:tcPr>
            <w:tcW w:type="dxa" w:w="129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Commercial clarity</w:t>
            </w:r>
          </w:p>
        </w:tc>
        <w:tc>
          <w:tcPr>
            <w:tcW w:type="dxa" w:w="129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Embedded fit</w:t>
            </w:r>
          </w:p>
        </w:tc>
        <w:tc>
          <w:tcPr>
            <w:tcW w:type="dxa" w:w="1440"/>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Streaming / jitter</w:t>
            </w:r>
          </w:p>
        </w:tc>
        <w:tc>
          <w:tcPr>
            <w:tcW w:type="dxa" w:w="1152"/>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Total</w:t>
            </w:r>
          </w:p>
        </w:tc>
        <w:tc>
          <w:tcPr>
            <w:tcW w:type="dxa" w:w="273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Bottom line</w:t>
            </w:r>
          </w:p>
        </w:tc>
      </w:tr>
      <w:tr>
        <w:tc>
          <w:tcPr>
            <w:tcW w:type="dxa" w:w="2880"/>
            <w:tcMar>
              <w:top w:w="80" w:type="dxa"/>
              <w:start w:w="90" w:type="dxa"/>
              <w:bottom w:w="80" w:type="dxa"/>
              <w:end w:w="90" w:type="dxa"/>
            </w:tcMar>
            <w:vAlign w:val="center"/>
            <w:shd w:fill="F7FAFC"/>
          </w:tcPr>
          <w:p>
            <w:pPr>
              <w:spacing w:after="20" w:before="0" w:line="240" w:lineRule="auto"/>
              <w:jc w:val="left"/>
            </w:pPr>
            <w:r>
              <w:rPr>
                <w:rFonts w:ascii="Aptos" w:hAnsi="Aptos"/>
                <w:b/>
                <w:sz w:val="17"/>
              </w:rPr>
              <w:t>Miniaudio</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440"/>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24</w:t>
            </w:r>
          </w:p>
        </w:tc>
        <w:tc>
          <w:tcPr>
            <w:tcW w:type="dxa" w:w="2736"/>
            <w:tcMar>
              <w:top w:w="80" w:type="dxa"/>
              <w:start w:w="90" w:type="dxa"/>
              <w:bottom w:w="80" w:type="dxa"/>
              <w:end w:w="90" w:type="dxa"/>
            </w:tcMar>
            <w:vAlign w:val="center"/>
            <w:shd w:fill="F7FAFC"/>
          </w:tcPr>
          <w:p>
            <w:pPr>
              <w:spacing w:after="20" w:before="0" w:line="240" w:lineRule="auto"/>
              <w:jc w:val="left"/>
            </w:pPr>
            <w:r>
              <w:rPr>
                <w:rFonts w:ascii="Aptos" w:hAnsi="Aptos"/>
                <w:sz w:val="17"/>
              </w:rPr>
              <w:t>Best all-in-one open-source ingest layer for a future embedded product.</w:t>
            </w:r>
          </w:p>
        </w:tc>
      </w:tr>
      <w:tr>
        <w:tc>
          <w:tcPr>
            <w:tcW w:type="dxa" w:w="2880"/>
            <w:tcMar>
              <w:top w:w="80" w:type="dxa"/>
              <w:start w:w="90" w:type="dxa"/>
              <w:bottom w:w="80" w:type="dxa"/>
              <w:end w:w="90" w:type="dxa"/>
            </w:tcMar>
            <w:vAlign w:val="center"/>
          </w:tcPr>
          <w:p>
            <w:pPr>
              <w:spacing w:after="20" w:before="0" w:line="240" w:lineRule="auto"/>
              <w:jc w:val="left"/>
            </w:pPr>
            <w:r>
              <w:rPr>
                <w:rFonts w:ascii="Aptos" w:hAnsi="Aptos"/>
                <w:b/>
                <w:sz w:val="17"/>
              </w:rPr>
              <w:t>Custom bounded ring buffer + thin decoder/capture adapter</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440"/>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24</w:t>
            </w:r>
          </w:p>
        </w:tc>
        <w:tc>
          <w:tcPr>
            <w:tcW w:type="dxa" w:w="2736"/>
            <w:tcMar>
              <w:top w:w="80" w:type="dxa"/>
              <w:start w:w="90" w:type="dxa"/>
              <w:bottom w:w="80" w:type="dxa"/>
              <w:end w:w="90" w:type="dxa"/>
            </w:tcMar>
            <w:vAlign w:val="center"/>
          </w:tcPr>
          <w:p>
            <w:pPr>
              <w:spacing w:after="20" w:before="0" w:line="240" w:lineRule="auto"/>
              <w:jc w:val="left"/>
            </w:pPr>
            <w:r>
              <w:rPr>
                <w:rFonts w:ascii="Aptos" w:hAnsi="Aptos"/>
                <w:sz w:val="17"/>
              </w:rPr>
              <w:t>Excellent for this glue layer if kept small and heavily tested.</w:t>
            </w:r>
          </w:p>
        </w:tc>
      </w:tr>
      <w:tr>
        <w:tc>
          <w:tcPr>
            <w:tcW w:type="dxa" w:w="2880"/>
            <w:tcMar>
              <w:top w:w="80" w:type="dxa"/>
              <w:start w:w="90" w:type="dxa"/>
              <w:bottom w:w="80" w:type="dxa"/>
              <w:end w:w="90" w:type="dxa"/>
            </w:tcMar>
            <w:vAlign w:val="center"/>
            <w:shd w:fill="F7FAFC"/>
          </w:tcPr>
          <w:p>
            <w:pPr>
              <w:spacing w:after="20" w:before="0" w:line="240" w:lineRule="auto"/>
              <w:jc w:val="left"/>
            </w:pPr>
            <w:r>
              <w:rPr>
                <w:rFonts w:ascii="Aptos" w:hAnsi="Aptos"/>
                <w:b/>
                <w:sz w:val="17"/>
              </w:rPr>
              <w:t>PortAudio + dr_wav/dr_flac</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440"/>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21</w:t>
            </w:r>
          </w:p>
        </w:tc>
        <w:tc>
          <w:tcPr>
            <w:tcW w:type="dxa" w:w="2736"/>
            <w:tcMar>
              <w:top w:w="80" w:type="dxa"/>
              <w:start w:w="90" w:type="dxa"/>
              <w:bottom w:w="80" w:type="dxa"/>
              <w:end w:w="90" w:type="dxa"/>
            </w:tcMar>
            <w:vAlign w:val="center"/>
            <w:shd w:fill="F7FAFC"/>
          </w:tcPr>
          <w:p>
            <w:pPr>
              <w:spacing w:after="20" w:before="0" w:line="240" w:lineRule="auto"/>
              <w:jc w:val="left"/>
            </w:pPr>
            <w:r>
              <w:rPr>
                <w:rFonts w:ascii="Aptos" w:hAnsi="Aptos"/>
                <w:sz w:val="17"/>
              </w:rPr>
              <w:t>Mature callback model with clear licensing if you want separate audio and decode libraries.</w:t>
            </w:r>
          </w:p>
        </w:tc>
      </w:tr>
      <w:tr>
        <w:tc>
          <w:tcPr>
            <w:tcW w:type="dxa" w:w="2880"/>
            <w:tcMar>
              <w:top w:w="80" w:type="dxa"/>
              <w:start w:w="90" w:type="dxa"/>
              <w:bottom w:w="80" w:type="dxa"/>
              <w:end w:w="90" w:type="dxa"/>
            </w:tcMar>
            <w:vAlign w:val="center"/>
          </w:tcPr>
          <w:p>
            <w:pPr>
              <w:spacing w:after="20" w:before="0" w:line="240" w:lineRule="auto"/>
              <w:jc w:val="left"/>
            </w:pPr>
            <w:r>
              <w:rPr>
                <w:rFonts w:ascii="Aptos" w:hAnsi="Aptos"/>
                <w:b/>
                <w:sz w:val="17"/>
              </w:rPr>
              <w:t>RtAudio + dr_wav/dr_flac</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3</w:t>
            </w:r>
          </w:p>
        </w:tc>
        <w:tc>
          <w:tcPr>
            <w:tcW w:type="dxa" w:w="1440"/>
            <w:tcMar>
              <w:top w:w="80" w:type="dxa"/>
              <w:start w:w="90" w:type="dxa"/>
              <w:bottom w:w="80" w:type="dxa"/>
              <w:end w:w="90" w:type="dxa"/>
            </w:tcMar>
            <w:vAlign w:val="center"/>
          </w:tcPr>
          <w:p>
            <w:pPr>
              <w:spacing w:after="20" w:before="0" w:line="240" w:lineRule="auto"/>
              <w:jc w:val="center"/>
            </w:pPr>
            <w:r>
              <w:rPr>
                <w:rFonts w:ascii="Aptos" w:hAnsi="Aptos"/>
                <w:sz w:val="17"/>
              </w:rPr>
              <w:t>4</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20</w:t>
            </w:r>
          </w:p>
        </w:tc>
        <w:tc>
          <w:tcPr>
            <w:tcW w:type="dxa" w:w="2736"/>
            <w:tcMar>
              <w:top w:w="80" w:type="dxa"/>
              <w:start w:w="90" w:type="dxa"/>
              <w:bottom w:w="80" w:type="dxa"/>
              <w:end w:w="90" w:type="dxa"/>
            </w:tcMar>
            <w:vAlign w:val="center"/>
          </w:tcPr>
          <w:p>
            <w:pPr>
              <w:spacing w:after="20" w:before="0" w:line="240" w:lineRule="auto"/>
              <w:jc w:val="left"/>
            </w:pPr>
            <w:r>
              <w:rPr>
                <w:rFonts w:ascii="Aptos" w:hAnsi="Aptos"/>
                <w:sz w:val="17"/>
              </w:rPr>
              <w:t>Reasonable C++ alternative; cleaner than PortAudio in some codebases but less compelling here.</w:t>
            </w:r>
          </w:p>
        </w:tc>
      </w:tr>
      <w:tr>
        <w:tc>
          <w:tcPr>
            <w:tcW w:type="dxa" w:w="2880"/>
            <w:tcMar>
              <w:top w:w="80" w:type="dxa"/>
              <w:start w:w="90" w:type="dxa"/>
              <w:bottom w:w="80" w:type="dxa"/>
              <w:end w:w="90" w:type="dxa"/>
            </w:tcMar>
            <w:vAlign w:val="center"/>
            <w:shd w:fill="F7FAFC"/>
          </w:tcPr>
          <w:p>
            <w:pPr>
              <w:spacing w:after="20" w:before="0" w:line="240" w:lineRule="auto"/>
              <w:jc w:val="left"/>
            </w:pPr>
            <w:r>
              <w:rPr>
                <w:rFonts w:ascii="Aptos" w:hAnsi="Aptos"/>
                <w:b/>
                <w:sz w:val="17"/>
              </w:rPr>
              <w:t>PortAudio + libsndfile</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3</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3</w:t>
            </w:r>
          </w:p>
        </w:tc>
        <w:tc>
          <w:tcPr>
            <w:tcW w:type="dxa" w:w="1440"/>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18</w:t>
            </w:r>
          </w:p>
        </w:tc>
        <w:tc>
          <w:tcPr>
            <w:tcW w:type="dxa" w:w="2736"/>
            <w:tcMar>
              <w:top w:w="80" w:type="dxa"/>
              <w:start w:w="90" w:type="dxa"/>
              <w:bottom w:w="80" w:type="dxa"/>
              <w:end w:w="90" w:type="dxa"/>
            </w:tcMar>
            <w:vAlign w:val="center"/>
            <w:shd w:fill="F7FAFC"/>
          </w:tcPr>
          <w:p>
            <w:pPr>
              <w:spacing w:after="20" w:before="0" w:line="240" w:lineRule="auto"/>
              <w:jc w:val="left"/>
            </w:pPr>
            <w:r>
              <w:rPr>
                <w:rFonts w:ascii="Aptos" w:hAnsi="Aptos"/>
                <w:sz w:val="17"/>
              </w:rPr>
              <w:t>Still workable, but LGPL in libsndfile weakens redistribution simplicity.</w:t>
            </w:r>
          </w:p>
        </w:tc>
      </w:tr>
      <w:tr>
        <w:tc>
          <w:tcPr>
            <w:tcW w:type="dxa" w:w="2880"/>
            <w:tcMar>
              <w:top w:w="80" w:type="dxa"/>
              <w:start w:w="90" w:type="dxa"/>
              <w:bottom w:w="80" w:type="dxa"/>
              <w:end w:w="90" w:type="dxa"/>
            </w:tcMar>
            <w:vAlign w:val="center"/>
          </w:tcPr>
          <w:p>
            <w:pPr>
              <w:spacing w:after="20" w:before="0" w:line="240" w:lineRule="auto"/>
              <w:jc w:val="left"/>
            </w:pPr>
            <w:r>
              <w:rPr>
                <w:rFonts w:ascii="Aptos" w:hAnsi="Aptos"/>
                <w:b/>
                <w:sz w:val="17"/>
              </w:rPr>
              <w:t>Python soundfile replay only</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2</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3</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1</w:t>
            </w:r>
          </w:p>
        </w:tc>
        <w:tc>
          <w:tcPr>
            <w:tcW w:type="dxa" w:w="1440"/>
            <w:tcMar>
              <w:top w:w="80" w:type="dxa"/>
              <w:start w:w="90" w:type="dxa"/>
              <w:bottom w:w="80" w:type="dxa"/>
              <w:end w:w="90" w:type="dxa"/>
            </w:tcMar>
            <w:vAlign w:val="center"/>
          </w:tcPr>
          <w:p>
            <w:pPr>
              <w:spacing w:after="20" w:before="0" w:line="240" w:lineRule="auto"/>
              <w:jc w:val="center"/>
            </w:pPr>
            <w:r>
              <w:rPr>
                <w:rFonts w:ascii="Aptos" w:hAnsi="Aptos"/>
                <w:sz w:val="17"/>
              </w:rPr>
              <w:t>2</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12</w:t>
            </w:r>
          </w:p>
        </w:tc>
        <w:tc>
          <w:tcPr>
            <w:tcW w:type="dxa" w:w="2736"/>
            <w:tcMar>
              <w:top w:w="80" w:type="dxa"/>
              <w:start w:w="90" w:type="dxa"/>
              <w:bottom w:w="80" w:type="dxa"/>
              <w:end w:w="90" w:type="dxa"/>
            </w:tcMar>
            <w:vAlign w:val="center"/>
          </w:tcPr>
          <w:p>
            <w:pPr>
              <w:spacing w:after="20" w:before="0" w:line="240" w:lineRule="auto"/>
              <w:jc w:val="left"/>
            </w:pPr>
            <w:r>
              <w:rPr>
                <w:rFonts w:ascii="Aptos" w:hAnsi="Aptos"/>
                <w:sz w:val="17"/>
              </w:rPr>
              <w:t>Good for evaluation harness experiments, not for the embedded product path.</w:t>
            </w:r>
          </w:p>
        </w:tc>
      </w:tr>
    </w:tbl>
    <w:p>
      <w:pPr>
        <w:pStyle w:val="SmallNote"/>
      </w:pPr>
      <w:r>
        <w:t>Interpretation: this scorecard judges how each option supports one shared streaming core. It does not reward general convenience if that convenience pushes you away from the eventual embedded product architecture.</w:t>
      </w:r>
    </w:p>
    <w:p>
      <w:pPr>
        <w:sectPr>
          <w:pgSz w:w="15840" w:h="12240" w:orient="landscape"/>
          <w:pgMar w:top="792" w:right="648" w:bottom="792" w:left="648" w:header="720" w:footer="720" w:gutter="0"/>
          <w:cols w:space="720"/>
          <w:docGrid w:linePitch="360"/>
        </w:sectPr>
      </w:pPr>
    </w:p>
    <w:p>
      <w:pPr>
        <w:pStyle w:val="SubsectionHeading"/>
      </w:pPr>
      <w:r>
        <w:t>3.2 Input-layer option analysis</w:t>
      </w:r>
    </w:p>
    <w:p>
      <w:pPr>
        <w:pStyle w:val="ToolHeading"/>
      </w:pPr>
      <w:r>
        <w:t>Miniaudio</w:t>
      </w:r>
    </w:p>
    <w:p>
      <w:pPr/>
      <w:r>
        <w:t>Why it stands out: miniaudio combines capture, playback, decoding, format conversion, resampling, and single-producer/single-consumer PCM ring buffers in one small C library. That combination is unusually well aligned with your need to share one path between evaluation replay and live microphones.</w:t>
      </w:r>
    </w:p>
    <w:p>
      <w:pPr/>
      <w:r>
        <w:t>Strength versus alternatives: it reduces dependency count, already supports WAV and FLAC decoding, and exposes an explicit ring-buffer API, so a PCM replay source can look almost identical to a live capture source.</w:t>
      </w:r>
    </w:p>
    <w:p>
      <w:pPr/>
      <w:r>
        <w:t>Weakness versus alternatives: it is a low-level library, not a complete speech pipeline. You still have to build pacing, timestamps, and backpressure policy. That is acceptable because those pieces are exactly the right place for product-specific code.</w:t>
      </w:r>
    </w:p>
    <w:p>
      <w:pPr>
        <w:pStyle w:val="ToolHeading"/>
      </w:pPr>
      <w:r>
        <w:t>Custom bounded ring buffer + thin adapter</w:t>
      </w:r>
    </w:p>
    <w:p>
      <w:pPr/>
      <w:r>
        <w:t>Why custom code is reasonable here: this layer is mostly deterministic systems code rather than ML. A well-tested in-house SPSC ring buffer, timestamped frame transport, and replay pacer are realistic targets for custom implementation.</w:t>
      </w:r>
    </w:p>
    <w:p>
      <w:pPr/>
      <w:r>
        <w:t>Strength versus alternatives: full control over memory layout, exact overflow policy, and future integration with your eventual PCB or DSP/MCU environment.</w:t>
      </w:r>
    </w:p>
    <w:p>
      <w:pPr/>
      <w:r>
        <w:t>Weakness versus alternatives: the moment custom code starts replacing mature cross-platform device I/O or file decoding, the maintenance burden rises. The custom recommendation applies to the transport glue, not to every dependency in the ingest layer.</w:t>
      </w:r>
    </w:p>
    <w:p>
      <w:pPr>
        <w:pStyle w:val="ToolHeading"/>
      </w:pPr>
      <w:r>
        <w:t>PortAudio + dr_wav/dr_flac</w:t>
      </w:r>
    </w:p>
    <w:p>
      <w:pPr/>
      <w:r>
        <w:t>Why it remains credible: PortAudio is mature, callback-driven, cross-platform, and explicitly designed for real-time audio I/O. The official guidance also matches your desired architecture: keep file I/O off the callback thread and feed the callback through a FIFO or queue.</w:t>
      </w:r>
    </w:p>
    <w:p>
      <w:pPr/>
      <w:r>
        <w:t>Strength versus alternatives: battle-tested host API coverage and useful timing and latency documentation.</w:t>
      </w:r>
    </w:p>
    <w:p>
      <w:pPr/>
      <w:r>
        <w:t>Weakness versus alternatives: unlike miniaudio, PortAudio does not solve file decoding, ring buffers, or resampling in one place. The architecture is still good, but it is more pieced together.</w:t>
      </w:r>
    </w:p>
    <w:p>
      <w:pPr>
        <w:pStyle w:val="ToolHeading"/>
      </w:pPr>
      <w:r>
        <w:t>RtAudio + dr_wav/dr_flac</w:t>
      </w:r>
    </w:p>
    <w:p>
      <w:pPr/>
      <w:r>
        <w:t>Why it can work: RtAudio gives a compact C++ API for real-time audio input/output with permissive licensing and broad host API coverage.</w:t>
      </w:r>
    </w:p>
    <w:p>
      <w:pPr/>
      <w:r>
        <w:t>Strength versus alternatives: simple inclusion model and a clean C++ feel.</w:t>
      </w:r>
    </w:p>
    <w:p>
      <w:pPr/>
      <w:r>
        <w:t>Weakness versus alternatives: for this project it does not deliver a clear advantage over miniaudio, and it still needs separate decode and queue code.</w:t>
      </w:r>
    </w:p>
    <w:p>
      <w:pPr>
        <w:pStyle w:val="ToolHeading"/>
      </w:pPr>
      <w:r>
        <w:t>PortAudio + libsndfile</w:t>
      </w:r>
    </w:p>
    <w:p>
      <w:pPr/>
      <w:r>
        <w:t>Why it is common in prototypes: it is straightforward to pair mature real-time device I/O with mature file decoding.</w:t>
      </w:r>
    </w:p>
    <w:p>
      <w:pPr/>
      <w:r>
        <w:t>Strength versus alternatives: high familiarity and broad format support.</w:t>
      </w:r>
    </w:p>
    <w:p>
      <w:pPr/>
      <w:r>
        <w:t>Weakness versus alternatives: libsndfile is LGPL-2.1, which is not necessarily disqualifying, but it weakens the cleanest commercial and redistribution story compared with MIT/BSD/Apache choices or public-domain decoders.</w:t>
      </w:r>
    </w:p>
    <w:p>
      <w:pPr>
        <w:pStyle w:val="ToolHeading"/>
      </w:pPr>
      <w:r>
        <w:t>Python soundfile replay only</w:t>
      </w:r>
    </w:p>
    <w:p>
      <w:pPr/>
      <w:r>
        <w:t>Why it is still useful: it is excellent for validating the evaluation harness, replay semantics, and early algorithm comparisons from Python.</w:t>
      </w:r>
    </w:p>
    <w:p>
      <w:pPr/>
      <w:r>
        <w:t>Strength versus alternatives: fast experimentation and direct block processing for WAV/FLAC files.</w:t>
      </w:r>
    </w:p>
    <w:p>
      <w:pPr/>
      <w:r>
        <w:t>Weakness versus alternatives: it is the wrong center of gravity for the eventual product. Treat it as a validation harness convenience, not as the design anchor.</w:t>
      </w:r>
    </w:p>
    <w:tbl>
      <w:tblPr>
        <w:tblStyle w:val="TableGrid"/>
        <w:tblW w:type="auto" w:w="0"/>
        <w:jc w:val="center"/>
        <w:tblLook w:firstColumn="1" w:firstRow="1" w:lastColumn="0" w:lastRow="0" w:noHBand="0" w:noVBand="1" w:val="04A0"/>
      </w:tblPr>
      <w:tblGrid>
        <w:gridCol w:w="10080"/>
      </w:tblGrid>
      <w:tr>
        <w:tc>
          <w:tcPr>
            <w:tcW w:type="dxa" w:w="10080"/>
            <w:shd w:fill="FFF8E8"/>
            <w:tcMar>
              <w:top w:w="120" w:type="dxa"/>
              <w:start w:w="120" w:type="dxa"/>
              <w:bottom w:w="120" w:type="dxa"/>
              <w:end w:w="120" w:type="dxa"/>
            </w:tcMar>
          </w:tcPr>
          <w:p>
            <w:pPr>
              <w:pStyle w:val="ToolHeading"/>
            </w:pPr>
            <w:r>
              <w:t>Recommendation for this layer</w:t>
            </w:r>
          </w:p>
          <w:p>
            <w:pPr>
              <w:pStyle w:val="BulletTight"/>
            </w:pPr>
            <w:r>
              <w:t>Best product-oriented default: miniaudio as the capture/decoder substrate, plus a small in-house replay/callback adapter and bounded ring-buffer transport.</w:t>
            </w:r>
          </w:p>
          <w:p>
            <w:pPr>
              <w:pStyle w:val="BulletTight"/>
            </w:pPr>
            <w:r>
              <w:t>Best conservative alternative: PortAudio plus dr_wav/dr_flac if you prefer a more traditional audio-I/O stack.</w:t>
            </w:r>
          </w:p>
          <w:p>
            <w:pPr>
              <w:pStyle w:val="BulletTight"/>
            </w:pPr>
            <w:r>
              <w:t>Do not let the evaluation harness push you into a Python-only or batch-only ingest design. The ingest layer should already resemble a PCM microphone source.</w:t>
            </w:r>
          </w:p>
        </w:tc>
      </w:tr>
    </w:tbl>
    <w:p>
      <w:pPr>
        <w:pStyle w:val="SectionHeading"/>
      </w:pPr>
      <w:r>
        <w:t>4. Audio front-end, denoising toggle, and multi-microphone growth path</w:t>
      </w:r>
    </w:p>
    <w:p>
      <w:pPr/>
      <w:r>
        <w:t>This layer should exist, but it should not be welded into the rest of the pipeline. Your requirement to measure performance both with and without denoising is correct. The cleanest design is a front-end block with a single configuration toggle that runs before VAD. When disabled, the block becomes a pass-through identity transform; when enabled, it applies denoising, echo control, beamforming, or array processing according to the selected profile.</w:t>
      </w:r>
    </w:p>
    <w:p>
      <w:pPr>
        <w:pStyle w:val="BulletTight"/>
      </w:pPr>
      <w:r>
        <w:t>Keep the front-end contract separate from ASR and speaker code. That makes controlled A/B experiments easy and avoids contaminating every component with denoising assumptions.</w:t>
      </w:r>
    </w:p>
    <w:p>
      <w:pPr>
        <w:pStyle w:val="BulletTight"/>
      </w:pPr>
      <w:r>
        <w:t>Preserve channel-aware tensors at the front-end boundary, even if the first downstream path consumes beamformed mono. That avoids a future rewrite when multiple microphones arrive.</w:t>
      </w:r>
    </w:p>
    <w:p>
      <w:pPr>
        <w:pStyle w:val="BulletTight"/>
      </w:pPr>
      <w:r>
        <w:t>Do not hide the front-end behind implicit runtime heuristics. Make it explicit in the run config so every evaluation result records whether pass-through, denoising, or array processing was enabled.</w:t>
      </w:r>
    </w:p>
    <w:tbl>
      <w:tblPr>
        <w:tblStyle w:val="TableGrid"/>
        <w:tblW w:type="auto" w:w="0"/>
        <w:jc w:val="center"/>
        <w:tblLook w:firstColumn="1" w:firstRow="1" w:lastColumn="0" w:lastRow="0" w:noHBand="0" w:noVBand="1" w:val="04A0"/>
      </w:tblPr>
      <w:tblGrid>
        <w:gridCol w:w="10080"/>
      </w:tblGrid>
      <w:tr>
        <w:tc>
          <w:tcPr>
            <w:tcW w:type="dxa" w:w="10080"/>
            <w:shd w:fill="EEF6FB"/>
            <w:tcMar>
              <w:top w:w="120" w:type="dxa"/>
              <w:start w:w="120" w:type="dxa"/>
              <w:bottom w:w="120" w:type="dxa"/>
              <w:end w:w="120" w:type="dxa"/>
            </w:tcMar>
          </w:tcPr>
          <w:p>
            <w:pPr>
              <w:pStyle w:val="ToolHeading"/>
            </w:pPr>
            <w:r>
              <w:t>Recommended toggle model</w:t>
            </w:r>
          </w:p>
          <w:p>
            <w:pPr>
              <w:pStyle w:val="BulletTight"/>
            </w:pPr>
            <w:r>
              <w:t>front_end.mode = passthrough | rnnoise | speexdsp | webrtc_apm | odas | custom_beamformer</w:t>
            </w:r>
          </w:p>
          <w:p>
            <w:pPr>
              <w:pStyle w:val="BulletTight"/>
            </w:pPr>
            <w:r>
              <w:t>front_end.enabled = true / false</w:t>
            </w:r>
          </w:p>
          <w:p>
            <w:pPr>
              <w:pStyle w:val="BulletTight"/>
            </w:pPr>
            <w:r>
              <w:t>front_end.output = mono_beamformed | selected_channel | per_channel_features</w:t>
            </w:r>
          </w:p>
          <w:p>
            <w:pPr>
              <w:pStyle w:val="BulletTight"/>
            </w:pPr>
            <w:r>
              <w:t>Downstream components should not know whether denoising was enabled; they should only receive a well-defined audio contract.</w:t>
            </w:r>
          </w:p>
        </w:tc>
      </w:tr>
    </w:tbl>
    <w:p>
      <w:pPr>
        <w:pStyle w:val="SubsectionHeading"/>
      </w:pPr>
      <w:r>
        <w:t>Audio front-end and multi-mic scorecard</w:t>
      </w:r>
    </w:p>
    <w:p>
      <w:pPr>
        <w:sectPr>
          <w:pgSz w:w="12240" w:h="15840"/>
          <w:pgMar w:top="1008" w:right="1080" w:bottom="1008" w:left="1080" w:header="720" w:footer="720" w:gutter="0"/>
          <w:cols w:space="720"/>
          <w:docGrid w:linePitch="360"/>
        </w:sectPr>
      </w:pPr>
    </w:p>
    <w:p>
      <w:pPr>
        <w:pStyle w:val="SubsectionHeading"/>
      </w:pPr>
      <w:r>
        <w:t>Audio front-end and multi-mic scorecard</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c>
          <w:tcPr>
            <w:tcW w:type="dxa" w:w="2880"/>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Option</w:t>
            </w:r>
          </w:p>
        </w:tc>
        <w:tc>
          <w:tcPr>
            <w:tcW w:type="dxa" w:w="1152"/>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Multi-mic</w:t>
            </w:r>
          </w:p>
        </w:tc>
        <w:tc>
          <w:tcPr>
            <w:tcW w:type="dxa" w:w="129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Accuracy / naming</w:t>
            </w:r>
          </w:p>
        </w:tc>
        <w:tc>
          <w:tcPr>
            <w:tcW w:type="dxa" w:w="129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Commercial clarity</w:t>
            </w:r>
          </w:p>
        </w:tc>
        <w:tc>
          <w:tcPr>
            <w:tcW w:type="dxa" w:w="129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Embedded fit</w:t>
            </w:r>
          </w:p>
        </w:tc>
        <w:tc>
          <w:tcPr>
            <w:tcW w:type="dxa" w:w="1440"/>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Streaming / jitter</w:t>
            </w:r>
          </w:p>
        </w:tc>
        <w:tc>
          <w:tcPr>
            <w:tcW w:type="dxa" w:w="1152"/>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Total</w:t>
            </w:r>
          </w:p>
        </w:tc>
        <w:tc>
          <w:tcPr>
            <w:tcW w:type="dxa" w:w="273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Bottom line</w:t>
            </w:r>
          </w:p>
        </w:tc>
      </w:tr>
      <w:tr>
        <w:tc>
          <w:tcPr>
            <w:tcW w:type="dxa" w:w="2880"/>
            <w:tcMar>
              <w:top w:w="80" w:type="dxa"/>
              <w:start w:w="90" w:type="dxa"/>
              <w:bottom w:w="80" w:type="dxa"/>
              <w:end w:w="90" w:type="dxa"/>
            </w:tcMar>
            <w:vAlign w:val="center"/>
            <w:shd w:fill="F7FAFC"/>
          </w:tcPr>
          <w:p>
            <w:pPr>
              <w:spacing w:after="20" w:before="0" w:line="240" w:lineRule="auto"/>
              <w:jc w:val="left"/>
            </w:pPr>
            <w:r>
              <w:rPr>
                <w:rFonts w:ascii="Aptos" w:hAnsi="Aptos"/>
                <w:b/>
                <w:sz w:val="17"/>
              </w:rPr>
              <w:t>Pass-through baseline</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2</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3</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440"/>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20</w:t>
            </w:r>
          </w:p>
        </w:tc>
        <w:tc>
          <w:tcPr>
            <w:tcW w:type="dxa" w:w="2736"/>
            <w:tcMar>
              <w:top w:w="80" w:type="dxa"/>
              <w:start w:w="90" w:type="dxa"/>
              <w:bottom w:w="80" w:type="dxa"/>
              <w:end w:w="90" w:type="dxa"/>
            </w:tcMar>
            <w:vAlign w:val="center"/>
            <w:shd w:fill="F7FAFC"/>
          </w:tcPr>
          <w:p>
            <w:pPr>
              <w:spacing w:after="20" w:before="0" w:line="240" w:lineRule="auto"/>
              <w:jc w:val="left"/>
            </w:pPr>
            <w:r>
              <w:rPr>
                <w:rFonts w:ascii="Aptos" w:hAnsi="Aptos"/>
                <w:sz w:val="17"/>
              </w:rPr>
              <w:t>Mandatory baseline. Keep it available for all experiments.</w:t>
            </w:r>
          </w:p>
        </w:tc>
      </w:tr>
      <w:tr>
        <w:tc>
          <w:tcPr>
            <w:tcW w:type="dxa" w:w="2880"/>
            <w:tcMar>
              <w:top w:w="80" w:type="dxa"/>
              <w:start w:w="90" w:type="dxa"/>
              <w:bottom w:w="80" w:type="dxa"/>
              <w:end w:w="90" w:type="dxa"/>
            </w:tcMar>
            <w:vAlign w:val="center"/>
          </w:tcPr>
          <w:p>
            <w:pPr>
              <w:spacing w:after="20" w:before="0" w:line="240" w:lineRule="auto"/>
              <w:jc w:val="left"/>
            </w:pPr>
            <w:r>
              <w:rPr>
                <w:rFonts w:ascii="Aptos" w:hAnsi="Aptos"/>
                <w:b/>
                <w:sz w:val="17"/>
              </w:rPr>
              <w:t>RNNoise</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3</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440"/>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22</w:t>
            </w:r>
          </w:p>
        </w:tc>
        <w:tc>
          <w:tcPr>
            <w:tcW w:type="dxa" w:w="2736"/>
            <w:tcMar>
              <w:top w:w="80" w:type="dxa"/>
              <w:start w:w="90" w:type="dxa"/>
              <w:bottom w:w="80" w:type="dxa"/>
              <w:end w:w="90" w:type="dxa"/>
            </w:tcMar>
            <w:vAlign w:val="center"/>
          </w:tcPr>
          <w:p>
            <w:pPr>
              <w:spacing w:after="20" w:before="0" w:line="240" w:lineRule="auto"/>
              <w:jc w:val="left"/>
            </w:pPr>
            <w:r>
              <w:rPr>
                <w:rFonts w:ascii="Aptos" w:hAnsi="Aptos"/>
                <w:sz w:val="17"/>
              </w:rPr>
              <w:t>Strong single-mic denoising toggle with excellent real-time fit.</w:t>
            </w:r>
          </w:p>
        </w:tc>
      </w:tr>
      <w:tr>
        <w:tc>
          <w:tcPr>
            <w:tcW w:type="dxa" w:w="2880"/>
            <w:tcMar>
              <w:top w:w="80" w:type="dxa"/>
              <w:start w:w="90" w:type="dxa"/>
              <w:bottom w:w="80" w:type="dxa"/>
              <w:end w:w="90" w:type="dxa"/>
            </w:tcMar>
            <w:vAlign w:val="center"/>
            <w:shd w:fill="F7FAFC"/>
          </w:tcPr>
          <w:p>
            <w:pPr>
              <w:spacing w:after="20" w:before="0" w:line="240" w:lineRule="auto"/>
              <w:jc w:val="left"/>
            </w:pPr>
            <w:r>
              <w:rPr>
                <w:rFonts w:ascii="Aptos" w:hAnsi="Aptos"/>
                <w:b/>
                <w:sz w:val="17"/>
              </w:rPr>
              <w:t>WebRTC Audio Processing Module</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440"/>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22</w:t>
            </w:r>
          </w:p>
        </w:tc>
        <w:tc>
          <w:tcPr>
            <w:tcW w:type="dxa" w:w="2736"/>
            <w:tcMar>
              <w:top w:w="80" w:type="dxa"/>
              <w:start w:w="90" w:type="dxa"/>
              <w:bottom w:w="80" w:type="dxa"/>
              <w:end w:w="90" w:type="dxa"/>
            </w:tcMar>
            <w:vAlign w:val="center"/>
            <w:shd w:fill="F7FAFC"/>
          </w:tcPr>
          <w:p>
            <w:pPr>
              <w:spacing w:after="20" w:before="0" w:line="240" w:lineRule="auto"/>
              <w:jc w:val="left"/>
            </w:pPr>
            <w:r>
              <w:rPr>
                <w:rFonts w:ascii="Aptos" w:hAnsi="Aptos"/>
                <w:sz w:val="17"/>
              </w:rPr>
              <w:t>Best RTC-style front-end and strongest ready-made multi-mic growth path.</w:t>
            </w:r>
          </w:p>
        </w:tc>
      </w:tr>
      <w:tr>
        <w:tc>
          <w:tcPr>
            <w:tcW w:type="dxa" w:w="2880"/>
            <w:tcMar>
              <w:top w:w="80" w:type="dxa"/>
              <w:start w:w="90" w:type="dxa"/>
              <w:bottom w:w="80" w:type="dxa"/>
              <w:end w:w="90" w:type="dxa"/>
            </w:tcMar>
            <w:vAlign w:val="center"/>
          </w:tcPr>
          <w:p>
            <w:pPr>
              <w:spacing w:after="20" w:before="0" w:line="240" w:lineRule="auto"/>
              <w:jc w:val="left"/>
            </w:pPr>
            <w:r>
              <w:rPr>
                <w:rFonts w:ascii="Aptos" w:hAnsi="Aptos"/>
                <w:b/>
                <w:sz w:val="17"/>
              </w:rPr>
              <w:t>SpeexDSP</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3</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3</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440"/>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21</w:t>
            </w:r>
          </w:p>
        </w:tc>
        <w:tc>
          <w:tcPr>
            <w:tcW w:type="dxa" w:w="2736"/>
            <w:tcMar>
              <w:top w:w="80" w:type="dxa"/>
              <w:start w:w="90" w:type="dxa"/>
              <w:bottom w:w="80" w:type="dxa"/>
              <w:end w:w="90" w:type="dxa"/>
            </w:tcMar>
            <w:vAlign w:val="center"/>
          </w:tcPr>
          <w:p>
            <w:pPr>
              <w:spacing w:after="20" w:before="0" w:line="240" w:lineRule="auto"/>
              <w:jc w:val="left"/>
            </w:pPr>
            <w:r>
              <w:rPr>
                <w:rFonts w:ascii="Aptos" w:hAnsi="Aptos"/>
                <w:sz w:val="17"/>
              </w:rPr>
              <w:t>Small classical DSP option when every CPU cycle matters.</w:t>
            </w:r>
          </w:p>
        </w:tc>
      </w:tr>
      <w:tr>
        <w:tc>
          <w:tcPr>
            <w:tcW w:type="dxa" w:w="2880"/>
            <w:tcMar>
              <w:top w:w="80" w:type="dxa"/>
              <w:start w:w="90" w:type="dxa"/>
              <w:bottom w:w="80" w:type="dxa"/>
              <w:end w:w="90" w:type="dxa"/>
            </w:tcMar>
            <w:vAlign w:val="center"/>
            <w:shd w:fill="F7FAFC"/>
          </w:tcPr>
          <w:p>
            <w:pPr>
              <w:spacing w:after="20" w:before="0" w:line="240" w:lineRule="auto"/>
              <w:jc w:val="left"/>
            </w:pPr>
            <w:r>
              <w:rPr>
                <w:rFonts w:ascii="Aptos" w:hAnsi="Aptos"/>
                <w:b/>
                <w:sz w:val="17"/>
              </w:rPr>
              <w:t>ODAS</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440"/>
            <w:tcMar>
              <w:top w:w="80" w:type="dxa"/>
              <w:start w:w="90" w:type="dxa"/>
              <w:bottom w:w="80" w:type="dxa"/>
              <w:end w:w="90" w:type="dxa"/>
            </w:tcMar>
            <w:vAlign w:val="center"/>
            <w:shd w:fill="F7FAFC"/>
          </w:tcPr>
          <w:p>
            <w:pPr>
              <w:spacing w:after="20" w:before="0" w:line="240" w:lineRule="auto"/>
              <w:jc w:val="center"/>
            </w:pPr>
            <w:r>
              <w:rPr>
                <w:rFonts w:ascii="Aptos" w:hAnsi="Aptos"/>
                <w:sz w:val="17"/>
              </w:rPr>
              <w:t>3</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21</w:t>
            </w:r>
          </w:p>
        </w:tc>
        <w:tc>
          <w:tcPr>
            <w:tcW w:type="dxa" w:w="2736"/>
            <w:tcMar>
              <w:top w:w="80" w:type="dxa"/>
              <w:start w:w="90" w:type="dxa"/>
              <w:bottom w:w="80" w:type="dxa"/>
              <w:end w:w="90" w:type="dxa"/>
            </w:tcMar>
            <w:vAlign w:val="center"/>
            <w:shd w:fill="F7FAFC"/>
          </w:tcPr>
          <w:p>
            <w:pPr>
              <w:spacing w:after="20" w:before="0" w:line="240" w:lineRule="auto"/>
              <w:jc w:val="left"/>
            </w:pPr>
            <w:r>
              <w:rPr>
                <w:rFonts w:ascii="Aptos" w:hAnsi="Aptos"/>
                <w:sz w:val="17"/>
              </w:rPr>
              <w:t>Best open-source array-processing growth path; not the first denoising toggle for v1.</w:t>
            </w:r>
          </w:p>
        </w:tc>
      </w:tr>
      <w:tr>
        <w:tc>
          <w:tcPr>
            <w:tcW w:type="dxa" w:w="2880"/>
            <w:tcMar>
              <w:top w:w="80" w:type="dxa"/>
              <w:start w:w="90" w:type="dxa"/>
              <w:bottom w:w="80" w:type="dxa"/>
              <w:end w:w="90" w:type="dxa"/>
            </w:tcMar>
            <w:vAlign w:val="center"/>
          </w:tcPr>
          <w:p>
            <w:pPr>
              <w:spacing w:after="20" w:before="0" w:line="240" w:lineRule="auto"/>
              <w:jc w:val="left"/>
            </w:pPr>
            <w:r>
              <w:rPr>
                <w:rFonts w:ascii="Aptos" w:hAnsi="Aptos"/>
                <w:b/>
                <w:sz w:val="17"/>
              </w:rPr>
              <w:t>Custom GCC-PHAT + delay-sum beamformer</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3</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440"/>
            <w:tcMar>
              <w:top w:w="80" w:type="dxa"/>
              <w:start w:w="90" w:type="dxa"/>
              <w:bottom w:w="80" w:type="dxa"/>
              <w:end w:w="90" w:type="dxa"/>
            </w:tcMar>
            <w:vAlign w:val="center"/>
          </w:tcPr>
          <w:p>
            <w:pPr>
              <w:spacing w:after="20" w:before="0" w:line="240" w:lineRule="auto"/>
              <w:jc w:val="center"/>
            </w:pPr>
            <w:r>
              <w:rPr>
                <w:rFonts w:ascii="Aptos" w:hAnsi="Aptos"/>
                <w:sz w:val="17"/>
              </w:rPr>
              <w:t>4</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22</w:t>
            </w:r>
          </w:p>
        </w:tc>
        <w:tc>
          <w:tcPr>
            <w:tcW w:type="dxa" w:w="2736"/>
            <w:tcMar>
              <w:top w:w="80" w:type="dxa"/>
              <w:start w:w="90" w:type="dxa"/>
              <w:bottom w:w="80" w:type="dxa"/>
              <w:end w:w="90" w:type="dxa"/>
            </w:tcMar>
            <w:vAlign w:val="center"/>
          </w:tcPr>
          <w:p>
            <w:pPr>
              <w:spacing w:after="20" w:before="0" w:line="240" w:lineRule="auto"/>
              <w:jc w:val="left"/>
            </w:pPr>
            <w:r>
              <w:rPr>
                <w:rFonts w:ascii="Aptos" w:hAnsi="Aptos"/>
                <w:sz w:val="17"/>
              </w:rPr>
              <w:t>Good future custom option if microphone geometry is fixed and simple.</w:t>
            </w:r>
          </w:p>
        </w:tc>
      </w:tr>
    </w:tbl>
    <w:p>
      <w:pPr>
        <w:pStyle w:val="SmallNote"/>
      </w:pPr>
      <w:r>
        <w:t>Interpretation: these options are not all identical in function. Some are single-mic denoisers, some are complete call front-ends, and some are array-processing paths. The score reflects how useful each is within your requested architecture.</w:t>
      </w:r>
    </w:p>
    <w:p>
      <w:pPr>
        <w:sectPr>
          <w:pgSz w:w="15840" w:h="12240" w:orient="landscape"/>
          <w:pgMar w:top="792" w:right="648" w:bottom="792" w:left="648" w:header="720" w:footer="720" w:gutter="0"/>
          <w:cols w:space="720"/>
          <w:docGrid w:linePitch="360"/>
        </w:sectPr>
      </w:pPr>
    </w:p>
    <w:p>
      <w:pPr>
        <w:pStyle w:val="SubsectionHeading"/>
      </w:pPr>
      <w:r>
        <w:t>4.1 Front-end option analysis</w:t>
      </w:r>
    </w:p>
    <w:p>
      <w:pPr>
        <w:pStyle w:val="ToolHeading"/>
      </w:pPr>
      <w:r>
        <w:t>Pass-through baseline</w:t>
      </w:r>
    </w:p>
    <w:p>
      <w:pPr/>
      <w:r>
        <w:t>Why it must exist: without a true no-front-end baseline, you cannot measure the value of denoising, echo control, or beamforming. This is not optional engineering hygiene; it is how you avoid optimizing blindly.</w:t>
      </w:r>
    </w:p>
    <w:p>
      <w:pPr/>
      <w:r>
        <w:t>Strength versus alternatives: maximum simplicity, zero front-end artifacts, and the cleanest way to see what the back-end models can really do.</w:t>
      </w:r>
    </w:p>
    <w:p>
      <w:pPr/>
      <w:r>
        <w:t>Weakness versus alternatives: it will underperform in noisy or reverberant settings, and it provides no help for future multi-microphone exploitation.</w:t>
      </w:r>
    </w:p>
    <w:p>
      <w:pPr>
        <w:pStyle w:val="ToolHeading"/>
      </w:pPr>
      <w:r>
        <w:t>RNNoise</w:t>
      </w:r>
    </w:p>
    <w:p>
      <w:pPr/>
      <w:r>
        <w:t>Why it is attractive: RNNoise is a real-time neural denoiser designed as a lightweight library. It works on raw PCM and even ships a smaller alternative model variant, which is useful when the device budget becomes tight.</w:t>
      </w:r>
    </w:p>
    <w:p>
      <w:pPr/>
      <w:r>
        <w:t>Strength versus alternatives: better noise suppression than classical DSP in many voice-oriented scenarios while remaining light enough for real-time use.</w:t>
      </w:r>
    </w:p>
    <w:p>
      <w:pPr/>
      <w:r>
        <w:t>Weakness versus alternatives: it is mainly a single-channel speech denoiser. It does not by itself solve echo cancellation, microphone-array geometry, or source localization.</w:t>
      </w:r>
    </w:p>
    <w:p>
      <w:pPr>
        <w:pStyle w:val="ToolHeading"/>
      </w:pPr>
      <w:r>
        <w:t>WebRTC Audio Processing Module</w:t>
      </w:r>
    </w:p>
    <w:p>
      <w:pPr/>
      <w:r>
        <w:t>Why it is attractive: WebRTC APM is the classic call-quality front-end. It brings echo cancellation, noise suppression, automatic gain control, and multichannel handling in a battle-tested RTC stack.</w:t>
      </w:r>
    </w:p>
    <w:p>
      <w:pPr/>
      <w:r>
        <w:t>Strength versus alternatives: strongest ready-made path when you care about near-real-time interaction and a future multi-microphone or loudspeaker-loop scenario.</w:t>
      </w:r>
    </w:p>
    <w:p>
      <w:pPr/>
      <w:r>
        <w:t>Weakness versus alternatives: it is broader and more opinionated than a simple denoiser. If your product is not a call-like setup, some of its behavior may be unnecessary or may require careful tuning.</w:t>
      </w:r>
    </w:p>
    <w:p>
      <w:pPr>
        <w:pStyle w:val="ToolHeading"/>
      </w:pPr>
      <w:r>
        <w:t>SpeexDSP</w:t>
      </w:r>
    </w:p>
    <w:p>
      <w:pPr/>
      <w:r>
        <w:t>Why it is attractive: SpeexDSP is classical DSP, very small, patent-free, and easy to justify in a low-power product. It is one of the cleanest lightweight options.</w:t>
      </w:r>
    </w:p>
    <w:p>
      <w:pPr/>
      <w:r>
        <w:t>Strength versus alternatives: minimal compute and strong control over preprocessing behavior.</w:t>
      </w:r>
    </w:p>
    <w:p>
      <w:pPr/>
      <w:r>
        <w:t>Weakness versus alternatives: it does not usually match the perceptual noise suppression quality of modern neural denoisers in hard real-world noise.</w:t>
      </w:r>
    </w:p>
    <w:p>
      <w:pPr>
        <w:pStyle w:val="ToolHeading"/>
      </w:pPr>
      <w:r>
        <w:t>ODAS</w:t>
      </w:r>
    </w:p>
    <w:p>
      <w:pPr/>
      <w:r>
        <w:t>Why it is attractive: ODAS is purpose-built for embedded audition, source localization, tracking, separation, and post-filtering on low-cost hardware. It is the clearest open-source multi-mic growth path in this report.</w:t>
      </w:r>
    </w:p>
    <w:p>
      <w:pPr/>
      <w:r>
        <w:t>Strength versus alternatives: if multiple microphones become part of the product identity, ODAS gives you a serious starting point for spatial processing without building that world from scratch.</w:t>
      </w:r>
    </w:p>
    <w:p>
      <w:pPr/>
      <w:r>
        <w:t>Weakness versus alternatives: it is not the simplest early denoising toggle. It adds system complexity and makes most sense once array geometry and microphone placement are real product variables.</w:t>
      </w:r>
    </w:p>
    <w:p>
      <w:pPr>
        <w:pStyle w:val="ToolHeading"/>
      </w:pPr>
      <w:r>
        <w:t>Custom GCC-PHAT + delay-sum beamformer</w:t>
      </w:r>
    </w:p>
    <w:p>
      <w:pPr/>
      <w:r>
        <w:t>Why it is attractive: with a fixed microphone geometry, a simple custom beamformer is often one of the best uses of in-house DSP effort. It is explainable, lightweight, and hardware-friendly.</w:t>
      </w:r>
    </w:p>
    <w:p>
      <w:pPr/>
      <w:r>
        <w:t>Strength versus alternatives: extremely portable and far easier to map onto future embedded hardware than a large learned array model.</w:t>
      </w:r>
    </w:p>
    <w:p>
      <w:pPr/>
      <w:r>
        <w:t>Weakness versus alternatives: it requires careful geometry calibration and usually cannot match more advanced spatial pipelines in difficult acoustic scenes.</w:t>
      </w:r>
    </w:p>
    <w:p>
      <w:pPr>
        <w:pStyle w:val="SubsectionHeading"/>
      </w:pPr>
      <w:r>
        <w:t>4.2 Recommendation for the front-end</w:t>
      </w:r>
    </w:p>
    <w:p>
      <w:pPr>
        <w:pStyle w:val="BulletTight"/>
      </w:pPr>
      <w:r>
        <w:t>For the first system, keep pass-through and RNNoise as the default A/B pair.</w:t>
      </w:r>
    </w:p>
    <w:p>
      <w:pPr>
        <w:pStyle w:val="BulletTight"/>
      </w:pPr>
      <w:r>
        <w:t>If the product later includes loudspeakers or strong echo paths, WebRTC APM becomes much more attractive than RNNoise alone.</w:t>
      </w:r>
    </w:p>
    <w:p>
      <w:pPr>
        <w:pStyle w:val="BulletTight"/>
      </w:pPr>
      <w:r>
        <w:t>If multi-microphone hardware is likely, preserve channel-aware contracts now and keep either ODAS or a simple custom beamformer as the future branch. There is no benefit in hard-coding a mono-only design today.</w:t>
      </w:r>
    </w:p>
    <w:p>
      <w:pPr>
        <w:pStyle w:val="BulletTight"/>
      </w:pPr>
      <w:r>
        <w:t>Do not commit to full array processing before microphone geometry, spacing, and power budget are known. Preserve the interface first; postpone the heavy spatial choice.</w:t>
      </w:r>
    </w:p>
    <w:p>
      <w:pPr>
        <w:pStyle w:val="SectionHeading"/>
      </w:pPr>
      <w:r>
        <w:t>5. Voice activity detection (VAD)</w:t>
      </w:r>
    </w:p>
    <w:p>
      <w:pPr/>
      <w:r>
        <w:t>VAD is the first decision point that determines whether downstream compute is spent at all. In this project it also shapes speaker naming quality, because poor VAD leads to contaminated embeddings, unstable speaker windows, and bad partial/final segmentation. The VAD therefore has to be judged not only on speech/non-speech detection but also on how cleanly it supports the rest of the streaming stack.</w:t>
      </w:r>
    </w:p>
    <w:p>
      <w:pPr>
        <w:pStyle w:val="SubsectionHeading"/>
      </w:pPr>
      <w:r>
        <w:t>VAD scorecard</w:t>
      </w:r>
    </w:p>
    <w:p>
      <w:pPr>
        <w:sectPr>
          <w:pgSz w:w="12240" w:h="15840"/>
          <w:pgMar w:top="1008" w:right="1080" w:bottom="1008" w:left="1080" w:header="720" w:footer="720" w:gutter="0"/>
          <w:cols w:space="720"/>
          <w:docGrid w:linePitch="360"/>
        </w:sectPr>
      </w:pPr>
    </w:p>
    <w:p>
      <w:pPr>
        <w:pStyle w:val="SubsectionHeading"/>
      </w:pPr>
      <w:r>
        <w:t>VAD scorecard</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c>
          <w:tcPr>
            <w:tcW w:type="dxa" w:w="2880"/>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Option</w:t>
            </w:r>
          </w:p>
        </w:tc>
        <w:tc>
          <w:tcPr>
            <w:tcW w:type="dxa" w:w="1152"/>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Multi-mic</w:t>
            </w:r>
          </w:p>
        </w:tc>
        <w:tc>
          <w:tcPr>
            <w:tcW w:type="dxa" w:w="129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Accuracy / naming</w:t>
            </w:r>
          </w:p>
        </w:tc>
        <w:tc>
          <w:tcPr>
            <w:tcW w:type="dxa" w:w="129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Commercial clarity</w:t>
            </w:r>
          </w:p>
        </w:tc>
        <w:tc>
          <w:tcPr>
            <w:tcW w:type="dxa" w:w="129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Embedded fit</w:t>
            </w:r>
          </w:p>
        </w:tc>
        <w:tc>
          <w:tcPr>
            <w:tcW w:type="dxa" w:w="1440"/>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Streaming / jitter</w:t>
            </w:r>
          </w:p>
        </w:tc>
        <w:tc>
          <w:tcPr>
            <w:tcW w:type="dxa" w:w="1152"/>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Total</w:t>
            </w:r>
          </w:p>
        </w:tc>
        <w:tc>
          <w:tcPr>
            <w:tcW w:type="dxa" w:w="273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Bottom line</w:t>
            </w:r>
          </w:p>
        </w:tc>
      </w:tr>
      <w:tr>
        <w:tc>
          <w:tcPr>
            <w:tcW w:type="dxa" w:w="2880"/>
            <w:tcMar>
              <w:top w:w="80" w:type="dxa"/>
              <w:start w:w="90" w:type="dxa"/>
              <w:bottom w:w="80" w:type="dxa"/>
              <w:end w:w="90" w:type="dxa"/>
            </w:tcMar>
            <w:vAlign w:val="center"/>
            <w:shd w:fill="F7FAFC"/>
          </w:tcPr>
          <w:p>
            <w:pPr>
              <w:spacing w:after="20" w:before="0" w:line="240" w:lineRule="auto"/>
              <w:jc w:val="left"/>
            </w:pPr>
            <w:r>
              <w:rPr>
                <w:rFonts w:ascii="Aptos" w:hAnsi="Aptos"/>
                <w:b/>
                <w:sz w:val="17"/>
              </w:rPr>
              <w:t>Sherpa-ONNX VAD</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440"/>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24</w:t>
            </w:r>
          </w:p>
        </w:tc>
        <w:tc>
          <w:tcPr>
            <w:tcW w:type="dxa" w:w="2736"/>
            <w:tcMar>
              <w:top w:w="80" w:type="dxa"/>
              <w:start w:w="90" w:type="dxa"/>
              <w:bottom w:w="80" w:type="dxa"/>
              <w:end w:w="90" w:type="dxa"/>
            </w:tcMar>
            <w:vAlign w:val="center"/>
            <w:shd w:fill="F7FAFC"/>
          </w:tcPr>
          <w:p>
            <w:pPr>
              <w:spacing w:after="20" w:before="0" w:line="240" w:lineRule="auto"/>
              <w:jc w:val="left"/>
            </w:pPr>
            <w:r>
              <w:rPr>
                <w:rFonts w:ascii="Aptos" w:hAnsi="Aptos"/>
                <w:sz w:val="17"/>
              </w:rPr>
              <w:t>Best if you standardize on the Sherpa runtime family.</w:t>
            </w:r>
          </w:p>
        </w:tc>
      </w:tr>
      <w:tr>
        <w:tc>
          <w:tcPr>
            <w:tcW w:type="dxa" w:w="2880"/>
            <w:tcMar>
              <w:top w:w="80" w:type="dxa"/>
              <w:start w:w="90" w:type="dxa"/>
              <w:bottom w:w="80" w:type="dxa"/>
              <w:end w:w="90" w:type="dxa"/>
            </w:tcMar>
            <w:vAlign w:val="center"/>
          </w:tcPr>
          <w:p>
            <w:pPr>
              <w:spacing w:after="20" w:before="0" w:line="240" w:lineRule="auto"/>
              <w:jc w:val="left"/>
            </w:pPr>
            <w:r>
              <w:rPr>
                <w:rFonts w:ascii="Aptos" w:hAnsi="Aptos"/>
                <w:b/>
                <w:sz w:val="17"/>
              </w:rPr>
              <w:t>Silero VAD (direct)</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4</w:t>
            </w:r>
          </w:p>
        </w:tc>
        <w:tc>
          <w:tcPr>
            <w:tcW w:type="dxa" w:w="1440"/>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23</w:t>
            </w:r>
          </w:p>
        </w:tc>
        <w:tc>
          <w:tcPr>
            <w:tcW w:type="dxa" w:w="2736"/>
            <w:tcMar>
              <w:top w:w="80" w:type="dxa"/>
              <w:start w:w="90" w:type="dxa"/>
              <w:bottom w:w="80" w:type="dxa"/>
              <w:end w:w="90" w:type="dxa"/>
            </w:tcMar>
            <w:vAlign w:val="center"/>
          </w:tcPr>
          <w:p>
            <w:pPr>
              <w:spacing w:after="20" w:before="0" w:line="240" w:lineRule="auto"/>
              <w:jc w:val="left"/>
            </w:pPr>
            <w:r>
              <w:rPr>
                <w:rFonts w:ascii="Aptos" w:hAnsi="Aptos"/>
                <w:sz w:val="17"/>
              </w:rPr>
              <w:t>Best standalone choice when you want modern ML VAD without adopting the full Sherpa stack.</w:t>
            </w:r>
          </w:p>
        </w:tc>
      </w:tr>
      <w:tr>
        <w:tc>
          <w:tcPr>
            <w:tcW w:type="dxa" w:w="2880"/>
            <w:tcMar>
              <w:top w:w="80" w:type="dxa"/>
              <w:start w:w="90" w:type="dxa"/>
              <w:bottom w:w="80" w:type="dxa"/>
              <w:end w:w="90" w:type="dxa"/>
            </w:tcMar>
            <w:vAlign w:val="center"/>
            <w:shd w:fill="F7FAFC"/>
          </w:tcPr>
          <w:p>
            <w:pPr>
              <w:spacing w:after="20" w:before="0" w:line="240" w:lineRule="auto"/>
              <w:jc w:val="left"/>
            </w:pPr>
            <w:r>
              <w:rPr>
                <w:rFonts w:ascii="Aptos" w:hAnsi="Aptos"/>
                <w:b/>
                <w:sz w:val="17"/>
              </w:rPr>
              <w:t>WebRTC VAD</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3</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440"/>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22</w:t>
            </w:r>
          </w:p>
        </w:tc>
        <w:tc>
          <w:tcPr>
            <w:tcW w:type="dxa" w:w="2736"/>
            <w:tcMar>
              <w:top w:w="80" w:type="dxa"/>
              <w:start w:w="90" w:type="dxa"/>
              <w:bottom w:w="80" w:type="dxa"/>
              <w:end w:w="90" w:type="dxa"/>
            </w:tcMar>
            <w:vAlign w:val="center"/>
            <w:shd w:fill="F7FAFC"/>
          </w:tcPr>
          <w:p>
            <w:pPr>
              <w:spacing w:after="20" w:before="0" w:line="240" w:lineRule="auto"/>
              <w:jc w:val="left"/>
            </w:pPr>
            <w:r>
              <w:rPr>
                <w:rFonts w:ascii="Aptos" w:hAnsi="Aptos"/>
                <w:sz w:val="17"/>
              </w:rPr>
              <w:t>Best ultra-light fallback when size, determinism, and classic RTC behavior matter most.</w:t>
            </w:r>
          </w:p>
        </w:tc>
      </w:tr>
    </w:tbl>
    <w:p>
      <w:pPr>
        <w:pStyle w:val="SmallNote"/>
      </w:pPr>
      <w:r>
        <w:t>Important nuance: Sherpa-ONNX VAD is mainly a deployment/runtime choice around a Silero-style ONNX VAD path rather than a wholly separate VAD research family. Its score advantage comes from integration and deployment fit, not from a claim of fundamentally different detection quality.</w:t>
      </w:r>
    </w:p>
    <w:p>
      <w:pPr>
        <w:sectPr>
          <w:pgSz w:w="15840" w:h="12240" w:orient="landscape"/>
          <w:pgMar w:top="792" w:right="648" w:bottom="792" w:left="648" w:header="720" w:footer="720" w:gutter="0"/>
          <w:cols w:space="720"/>
          <w:docGrid w:linePitch="360"/>
        </w:sectPr>
      </w:pPr>
    </w:p>
    <w:p>
      <w:pPr>
        <w:pStyle w:val="SubsectionHeading"/>
      </w:pPr>
      <w:r>
        <w:t>5.1 VAD option analysis</w:t>
      </w:r>
    </w:p>
    <w:p>
      <w:pPr>
        <w:pStyle w:val="ToolHeading"/>
      </w:pPr>
      <w:r>
        <w:t>Silero VAD (direct)</w:t>
      </w:r>
    </w:p>
    <w:p>
      <w:pPr/>
      <w:r>
        <w:t>Silero VAD is one of the strongest modern open-source VAD choices for practical product work. The official repository highlights very small model size, sub-millisecond processing for short chunks on CPU, ONNX portability, and a real-time example.</w:t>
      </w:r>
    </w:p>
    <w:p>
      <w:pPr/>
      <w:r>
        <w:t>Strength versus WebRTC VAD: better modern ML behavior in many noisy and varied conditions, with minimal extra integration pain.</w:t>
      </w:r>
    </w:p>
    <w:p>
      <w:pPr/>
      <w:r>
        <w:t>Weakness versus Sherpa-ONNX VAD: if you are already standardizing on Sherpa for ASR and speaker tasks, direct Silero becomes one more independent runtime path to maintain.</w:t>
      </w:r>
    </w:p>
    <w:p>
      <w:pPr>
        <w:pStyle w:val="ToolHeading"/>
      </w:pPr>
      <w:r>
        <w:t>WebRTC VAD</w:t>
      </w:r>
    </w:p>
    <w:p>
      <w:pPr/>
      <w:r>
        <w:t>WebRTC VAD remains relevant because it is tiny, deterministic, and designed around strict 10/20/30 ms frame semantics. That makes it easy to reason about in a callback-driven real-time system.</w:t>
      </w:r>
    </w:p>
    <w:p>
      <w:pPr/>
      <w:r>
        <w:t>Strength versus the ML options: smallest footprint and easiest fit for extremely tight CPU budgets.</w:t>
      </w:r>
    </w:p>
    <w:p>
      <w:pPr/>
      <w:r>
        <w:t>Weakness versus Silero or Sherpa: detection quality is more brittle in difficult noise or far-field speech, and the project wrapper ecosystem is relatively old.</w:t>
      </w:r>
    </w:p>
    <w:p>
      <w:pPr>
        <w:pStyle w:val="ToolHeading"/>
      </w:pPr>
      <w:r>
        <w:t>Sherpa-ONNX VAD</w:t>
      </w:r>
    </w:p>
    <w:p>
      <w:pPr/>
      <w:r>
        <w:t>Sherpa-ONNX VAD matters less as a distinct algorithm and more as a runtime strategy. If you already use Sherpa for streaming ASR or speaker tasks, using its VAD path keeps packaging, deployment, and platform support aligned.</w:t>
      </w:r>
    </w:p>
    <w:p>
      <w:pPr/>
      <w:r>
        <w:t>Strength versus direct Silero: stronger end-to-end deployment story across the same supported embedded targets and language bindings as the rest of Sherpa.</w:t>
      </w:r>
    </w:p>
    <w:p>
      <w:pPr/>
      <w:r>
        <w:t>Weakness versus direct Silero: if Sherpa is not otherwise selected, the extra runtime layer may be unnecessary complexity.</w:t>
      </w:r>
    </w:p>
    <w:tbl>
      <w:tblPr>
        <w:tblStyle w:val="TableGrid"/>
        <w:tblW w:type="auto" w:w="0"/>
        <w:jc w:val="center"/>
        <w:tblLook w:firstColumn="1" w:firstRow="1" w:lastColumn="0" w:lastRow="0" w:noHBand="0" w:noVBand="1" w:val="04A0"/>
      </w:tblPr>
      <w:tblGrid>
        <w:gridCol w:w="10080"/>
      </w:tblGrid>
      <w:tr>
        <w:tc>
          <w:tcPr>
            <w:tcW w:type="dxa" w:w="10080"/>
            <w:shd w:fill="FFF8E8"/>
            <w:tcMar>
              <w:top w:w="120" w:type="dxa"/>
              <w:start w:w="120" w:type="dxa"/>
              <w:bottom w:w="120" w:type="dxa"/>
              <w:end w:w="120" w:type="dxa"/>
            </w:tcMar>
          </w:tcPr>
          <w:p>
            <w:pPr>
              <w:pStyle w:val="ToolHeading"/>
            </w:pPr>
            <w:r>
              <w:t>Recommendation for VAD</w:t>
            </w:r>
          </w:p>
          <w:p>
            <w:pPr>
              <w:pStyle w:val="BulletTight"/>
            </w:pPr>
            <w:r>
              <w:t>If Sherpa-ONNX is the ASR anchor, use Sherpa-ONNX VAD for runtime consistency.</w:t>
            </w:r>
          </w:p>
          <w:p>
            <w:pPr>
              <w:pStyle w:val="BulletTight"/>
            </w:pPr>
            <w:r>
              <w:t>If the stack is mixed or you want the simplest strong standalone VAD, use direct Silero VAD.</w:t>
            </w:r>
          </w:p>
          <w:p>
            <w:pPr>
              <w:pStyle w:val="BulletTight"/>
            </w:pPr>
            <w:r>
              <w:t>Keep WebRTC VAD only as the smallest lightweight fallback or for side-by-side benchmarking on the lowest-power target.</w:t>
            </w:r>
          </w:p>
        </w:tc>
      </w:tr>
    </w:tbl>
    <w:p>
      <w:pPr>
        <w:pStyle w:val="SectionHeading"/>
      </w:pPr>
      <w:r>
        <w:t>6. Streaming ASR</w:t>
      </w:r>
    </w:p>
    <w:p>
      <w:pPr/>
      <w:r>
        <w:t>For this project, streaming ASR is the component most directly constrained by real-time behavior. The chosen engine must emit low-latency partials, finalize cleanly, and leave enough CPU headroom for speaker matching and front-end processing. Because the product target is low-power and embedded, the ASR decision should be biased toward runtimes that already think in terms of streaming and deployment rather than desktop-scale batch inference.</w:t>
      </w:r>
    </w:p>
    <w:p>
      <w:pPr>
        <w:pStyle w:val="SubsectionHeading"/>
      </w:pPr>
      <w:r>
        <w:t>Streaming ASR scorecard</w:t>
      </w:r>
    </w:p>
    <w:p>
      <w:pPr>
        <w:sectPr>
          <w:pgSz w:w="12240" w:h="15840"/>
          <w:pgMar w:top="1008" w:right="1080" w:bottom="1008" w:left="1080" w:header="720" w:footer="720" w:gutter="0"/>
          <w:cols w:space="720"/>
          <w:docGrid w:linePitch="360"/>
        </w:sectPr>
      </w:pPr>
    </w:p>
    <w:p>
      <w:pPr>
        <w:pStyle w:val="SubsectionHeading"/>
      </w:pPr>
      <w:r>
        <w:t>Streaming ASR scorecard</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c>
          <w:tcPr>
            <w:tcW w:type="dxa" w:w="2880"/>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Option</w:t>
            </w:r>
          </w:p>
        </w:tc>
        <w:tc>
          <w:tcPr>
            <w:tcW w:type="dxa" w:w="1152"/>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Multi-mic</w:t>
            </w:r>
          </w:p>
        </w:tc>
        <w:tc>
          <w:tcPr>
            <w:tcW w:type="dxa" w:w="129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Accuracy / naming</w:t>
            </w:r>
          </w:p>
        </w:tc>
        <w:tc>
          <w:tcPr>
            <w:tcW w:type="dxa" w:w="129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Commercial clarity</w:t>
            </w:r>
          </w:p>
        </w:tc>
        <w:tc>
          <w:tcPr>
            <w:tcW w:type="dxa" w:w="129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Embedded fit</w:t>
            </w:r>
          </w:p>
        </w:tc>
        <w:tc>
          <w:tcPr>
            <w:tcW w:type="dxa" w:w="1440"/>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Streaming / jitter</w:t>
            </w:r>
          </w:p>
        </w:tc>
        <w:tc>
          <w:tcPr>
            <w:tcW w:type="dxa" w:w="1152"/>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Total</w:t>
            </w:r>
          </w:p>
        </w:tc>
        <w:tc>
          <w:tcPr>
            <w:tcW w:type="dxa" w:w="273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Bottom line</w:t>
            </w:r>
          </w:p>
        </w:tc>
      </w:tr>
      <w:tr>
        <w:tc>
          <w:tcPr>
            <w:tcW w:type="dxa" w:w="2880"/>
            <w:tcMar>
              <w:top w:w="80" w:type="dxa"/>
              <w:start w:w="90" w:type="dxa"/>
              <w:bottom w:w="80" w:type="dxa"/>
              <w:end w:w="90" w:type="dxa"/>
            </w:tcMar>
            <w:vAlign w:val="center"/>
            <w:shd w:fill="F7FAFC"/>
          </w:tcPr>
          <w:p>
            <w:pPr>
              <w:spacing w:after="20" w:before="0" w:line="240" w:lineRule="auto"/>
              <w:jc w:val="left"/>
            </w:pPr>
            <w:r>
              <w:rPr>
                <w:rFonts w:ascii="Aptos" w:hAnsi="Aptos"/>
                <w:b/>
                <w:sz w:val="17"/>
              </w:rPr>
              <w:t>Sherpa-ONNX</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440"/>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22</w:t>
            </w:r>
          </w:p>
        </w:tc>
        <w:tc>
          <w:tcPr>
            <w:tcW w:type="dxa" w:w="2736"/>
            <w:tcMar>
              <w:top w:w="80" w:type="dxa"/>
              <w:start w:w="90" w:type="dxa"/>
              <w:bottom w:w="80" w:type="dxa"/>
              <w:end w:w="90" w:type="dxa"/>
            </w:tcMar>
            <w:vAlign w:val="center"/>
            <w:shd w:fill="F7FAFC"/>
          </w:tcPr>
          <w:p>
            <w:pPr>
              <w:spacing w:after="20" w:before="0" w:line="240" w:lineRule="auto"/>
              <w:jc w:val="left"/>
            </w:pPr>
            <w:r>
              <w:rPr>
                <w:rFonts w:ascii="Aptos" w:hAnsi="Aptos"/>
                <w:sz w:val="17"/>
              </w:rPr>
              <w:t>Best embedded-first streaming ASR platform.</w:t>
            </w:r>
          </w:p>
        </w:tc>
      </w:tr>
      <w:tr>
        <w:tc>
          <w:tcPr>
            <w:tcW w:type="dxa" w:w="2880"/>
            <w:tcMar>
              <w:top w:w="80" w:type="dxa"/>
              <w:start w:w="90" w:type="dxa"/>
              <w:bottom w:w="80" w:type="dxa"/>
              <w:end w:w="90" w:type="dxa"/>
            </w:tcMar>
            <w:vAlign w:val="center"/>
          </w:tcPr>
          <w:p>
            <w:pPr>
              <w:spacing w:after="20" w:before="0" w:line="240" w:lineRule="auto"/>
              <w:jc w:val="left"/>
            </w:pPr>
            <w:r>
              <w:rPr>
                <w:rFonts w:ascii="Aptos" w:hAnsi="Aptos"/>
                <w:b/>
                <w:sz w:val="17"/>
              </w:rPr>
              <w:t>Vosk (Apache model selection)</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3</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440"/>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22</w:t>
            </w:r>
          </w:p>
        </w:tc>
        <w:tc>
          <w:tcPr>
            <w:tcW w:type="dxa" w:w="2736"/>
            <w:tcMar>
              <w:top w:w="80" w:type="dxa"/>
              <w:start w:w="90" w:type="dxa"/>
              <w:bottom w:w="80" w:type="dxa"/>
              <w:end w:w="90" w:type="dxa"/>
            </w:tcMar>
            <w:vAlign w:val="center"/>
          </w:tcPr>
          <w:p>
            <w:pPr>
              <w:spacing w:after="20" w:before="0" w:line="240" w:lineRule="auto"/>
              <w:jc w:val="left"/>
            </w:pPr>
            <w:r>
              <w:rPr>
                <w:rFonts w:ascii="Aptos" w:hAnsi="Aptos"/>
                <w:sz w:val="17"/>
              </w:rPr>
              <w:t>Best smallest-footprint fallback when a small model is acceptable.</w:t>
            </w:r>
          </w:p>
        </w:tc>
      </w:tr>
      <w:tr>
        <w:tc>
          <w:tcPr>
            <w:tcW w:type="dxa" w:w="2880"/>
            <w:tcMar>
              <w:top w:w="80" w:type="dxa"/>
              <w:start w:w="90" w:type="dxa"/>
              <w:bottom w:w="80" w:type="dxa"/>
              <w:end w:w="90" w:type="dxa"/>
            </w:tcMar>
            <w:vAlign w:val="center"/>
            <w:shd w:fill="F7FAFC"/>
          </w:tcPr>
          <w:p>
            <w:pPr>
              <w:spacing w:after="20" w:before="0" w:line="240" w:lineRule="auto"/>
              <w:jc w:val="left"/>
            </w:pPr>
            <w:r>
              <w:rPr>
                <w:rFonts w:ascii="Aptos" w:hAnsi="Aptos"/>
                <w:b/>
                <w:sz w:val="17"/>
              </w:rPr>
              <w:t>WeNet</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3</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3</w:t>
            </w:r>
          </w:p>
        </w:tc>
        <w:tc>
          <w:tcPr>
            <w:tcW w:type="dxa" w:w="1440"/>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18</w:t>
            </w:r>
          </w:p>
        </w:tc>
        <w:tc>
          <w:tcPr>
            <w:tcW w:type="dxa" w:w="2736"/>
            <w:tcMar>
              <w:top w:w="80" w:type="dxa"/>
              <w:start w:w="90" w:type="dxa"/>
              <w:bottom w:w="80" w:type="dxa"/>
              <w:end w:w="90" w:type="dxa"/>
            </w:tcMar>
            <w:vAlign w:val="center"/>
            <w:shd w:fill="F7FAFC"/>
          </w:tcPr>
          <w:p>
            <w:pPr>
              <w:spacing w:after="20" w:before="0" w:line="240" w:lineRule="auto"/>
              <w:jc w:val="left"/>
            </w:pPr>
            <w:r>
              <w:rPr>
                <w:rFonts w:ascii="Aptos" w:hAnsi="Aptos"/>
                <w:sz w:val="17"/>
              </w:rPr>
              <w:t>Strong production ASR toolkit, but a weaker fit for this specific portability target.</w:t>
            </w:r>
          </w:p>
        </w:tc>
      </w:tr>
    </w:tbl>
    <w:p>
      <w:pPr>
        <w:pStyle w:val="SmallNote"/>
      </w:pPr>
      <w:r>
        <w:t>The tie between Sherpa-ONNX and Vosk hides an important difference: Sherpa-ONNX wins on ecosystem coherence and likely quality ceiling, while Vosk wins on small-footprint simplicity and very explicit model-level license tables. The better choice depends on whether your first hard limit is quality or device budget.</w:t>
      </w:r>
    </w:p>
    <w:p>
      <w:pPr>
        <w:sectPr>
          <w:pgSz w:w="15840" w:h="12240" w:orient="landscape"/>
          <w:pgMar w:top="792" w:right="648" w:bottom="792" w:left="648" w:header="720" w:footer="720" w:gutter="0"/>
          <w:cols w:space="720"/>
          <w:docGrid w:linePitch="360"/>
        </w:sectPr>
      </w:pPr>
    </w:p>
    <w:p>
      <w:pPr>
        <w:pStyle w:val="SubsectionHeading"/>
      </w:pPr>
      <w:r>
        <w:t>6.1 Streaming ASR option analysis</w:t>
      </w:r>
    </w:p>
    <w:p>
      <w:pPr>
        <w:pStyle w:val="ToolHeading"/>
      </w:pPr>
      <w:r>
        <w:t>Sherpa-ONNX</w:t>
      </w:r>
    </w:p>
    <w:p>
      <w:pPr/>
      <w:r>
        <w:t>Why it stands out: Sherpa-ONNX is explicitly built around local streaming and non-streaming ASR, VAD, speaker verification, diarization, and other speech tasks across Windows, macOS, Linux, Raspberry Pi, ARM, RISC-V, and multiple NPU paths. That makes it unusually aligned with your future hardware direction.</w:t>
      </w:r>
    </w:p>
    <w:p>
      <w:pPr/>
      <w:r>
        <w:t>Strength versus Vosk: broader modern runtime ecosystem, stronger deployment symmetry with VAD and speaker modules, and a cleaner path to one consistent embedded runtime family.</w:t>
      </w:r>
    </w:p>
    <w:p>
      <w:pPr/>
      <w:r>
        <w:t>Weakness versus Vosk: model and packaging choices are more varied, so the exact artifact you ship still needs review rather than assuming the toolkit license settles everything.</w:t>
      </w:r>
    </w:p>
    <w:p>
      <w:pPr>
        <w:pStyle w:val="ToolHeading"/>
      </w:pPr>
      <w:r>
        <w:t>Vosk</w:t>
      </w:r>
    </w:p>
    <w:p>
      <w:pPr/>
      <w:r>
        <w:t>Why it stands out: Vosk is a mature offline ASR toolkit with streaming API support, explicit mention of zero-latency response, and very small official models intended for Raspberry Pi and mobile-class devices.</w:t>
      </w:r>
    </w:p>
    <w:p>
      <w:pPr/>
      <w:r>
        <w:t>Strength versus Sherpa-ONNX and WeNet: when you need the smallest open-source path with clear official model-size and license tables, Vosk is one of the cleanest options available.</w:t>
      </w:r>
    </w:p>
    <w:p>
      <w:pPr/>
      <w:r>
        <w:t>Weakness versus Sherpa-ONNX and WeNet: the speech quality ceiling is usually lower than what you can often get from stronger modern streaming stacks, especially when the environment becomes acoustically messy.</w:t>
      </w:r>
    </w:p>
    <w:p>
      <w:pPr>
        <w:pStyle w:val="ToolHeading"/>
      </w:pPr>
      <w:r>
        <w:t>WeNet</w:t>
      </w:r>
    </w:p>
    <w:p>
      <w:pPr/>
      <w:r>
        <w:t>Why it stands out: WeNet is not a toy stack; it is a serious production-oriented streaming/non-streaming ASR toolkit. The runtime documentation is explicit about chunked streaming, attention rescoring, cache handling, and the trade-off between chunk size, latency, and accuracy.</w:t>
      </w:r>
    </w:p>
    <w:p>
      <w:pPr/>
      <w:r>
        <w:t>Strength versus Vosk: stronger ASR engineering depth and a more modern production-ASR mindset.</w:t>
      </w:r>
    </w:p>
    <w:p>
      <w:pPr/>
      <w:r>
        <w:t>Weakness versus Sherpa-ONNX for your use case: the runtime story is much more centered on x86 and Android, and the model license story follows the underlying dataset rather than giving one uniform clean answer. That makes it less attractive as the first embedded product anchor.</w:t>
      </w:r>
    </w:p>
    <w:p>
      <w:pPr>
        <w:pStyle w:val="SubsectionHeading"/>
      </w:pPr>
      <w:r>
        <w:t>6.2 What should win in practice?</w:t>
      </w:r>
    </w:p>
    <w:p>
      <w:pPr>
        <w:pStyle w:val="BulletTight"/>
      </w:pPr>
      <w:r>
        <w:t>If the product direction is genuinely embedded-first, Sherpa-ONNX should be the primary ASR branch.</w:t>
      </w:r>
    </w:p>
    <w:p>
      <w:pPr>
        <w:pStyle w:val="BulletTight"/>
      </w:pPr>
      <w:r>
        <w:t>If the first hard limit is footprint and battery rather than top-end transcription quality, Vosk deserves a serious benchmark branch and should not be dismissed.</w:t>
      </w:r>
    </w:p>
    <w:p>
      <w:pPr>
        <w:pStyle w:val="BulletTight"/>
      </w:pPr>
      <w:r>
        <w:t>WeNet is worth respecting as a production ASR toolkit, but it is a weaker first choice for your very specific low-power, portable, eventually-custom-hardware path.</w:t>
      </w:r>
    </w:p>
    <w:p>
      <w:pPr>
        <w:pStyle w:val="SectionHeading"/>
      </w:pPr>
      <w:r>
        <w:t>7. Speaker enrollment, embeddings, and identity assignment</w:t>
      </w:r>
    </w:p>
    <w:p>
      <w:pPr/>
      <w:r>
        <w:t>This component is where the product becomes more than a transcription engine. The key requirement is not just speaker verification quality in the abstract; it is whether the system can assign enrolled names conservatively in a live stream. That means the library choice and the decision logic must be judged together. A strong model with bad acceptance policy will still mislabel people, which is worse than returning Unknown.</w:t>
      </w:r>
    </w:p>
    <w:tbl>
      <w:tblPr>
        <w:tblStyle w:val="TableGrid"/>
        <w:tblW w:type="auto" w:w="0"/>
        <w:jc w:val="center"/>
        <w:tblLook w:firstColumn="1" w:firstRow="1" w:lastColumn="0" w:lastRow="0" w:noHBand="0" w:noVBand="1" w:val="04A0"/>
      </w:tblPr>
      <w:tblGrid>
        <w:gridCol w:w="10080"/>
      </w:tblGrid>
      <w:tr>
        <w:tc>
          <w:tcPr>
            <w:tcW w:type="dxa" w:w="10080"/>
            <w:shd w:fill="EEF6FB"/>
            <w:tcMar>
              <w:top w:w="120" w:type="dxa"/>
              <w:start w:w="120" w:type="dxa"/>
              <w:bottom w:w="120" w:type="dxa"/>
              <w:end w:w="120" w:type="dxa"/>
            </w:tcMar>
          </w:tcPr>
          <w:p>
            <w:pPr>
              <w:pStyle w:val="ToolHeading"/>
            </w:pPr>
            <w:r>
              <w:t>Enrollment design principle</w:t>
            </w:r>
          </w:p>
          <w:p>
            <w:pPr>
              <w:pStyle w:val="BulletTight"/>
            </w:pPr>
            <w:r>
              <w:t>No shortlisted option here requires a person to read for minutes. A practical product target is multiple short prompts, not a long session.</w:t>
            </w:r>
          </w:p>
          <w:p>
            <w:pPr>
              <w:pStyle w:val="BulletTight"/>
            </w:pPr>
            <w:r>
              <w:t>A good first design is three prompts of roughly 5-8 seconds each, for about 15-25 seconds of total voiced speech.</w:t>
            </w:r>
          </w:p>
          <w:p>
            <w:pPr>
              <w:pStyle w:val="BulletTight"/>
            </w:pPr>
            <w:r>
              <w:t>Store every prompt embedding plus a centroid embedding. At runtime, score against both the centroid and the closest exemplar.</w:t>
            </w:r>
          </w:p>
          <w:p>
            <w:pPr>
              <w:pStyle w:val="BulletTight"/>
            </w:pPr>
            <w:r>
              <w:t>Gate acceptance with at least four checks: minimum voiced duration, top-1 score threshold, margin to second-best speaker, and Unknown fallback.</w:t>
            </w:r>
          </w:p>
        </w:tc>
      </w:tr>
    </w:tbl>
    <w:p>
      <w:pPr>
        <w:pStyle w:val="SubsectionHeading"/>
      </w:pPr>
      <w:r>
        <w:t>7.1 Practical enrollment script recommendation</w:t>
      </w:r>
    </w:p>
    <w:p>
      <w:pPr/>
      <w:r>
        <w:t>The content of the enrollment script should be easy to read and phonetically diverse, but it does not need to be academically perfect. The more important variable is acoustic consistency: microphone distance, room conditions, and clipping control matter more than exotic prompt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Prompt type</w:t>
            </w:r>
          </w:p>
        </w:tc>
        <w:tc>
          <w:tcPr>
            <w:tcW w:type="dxa" w:w="3360"/>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Purpose</w:t>
            </w:r>
          </w:p>
        </w:tc>
        <w:tc>
          <w:tcPr>
            <w:tcW w:type="dxa" w:w="3360"/>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Example content characteristics</w:t>
            </w:r>
          </w:p>
        </w:tc>
      </w:tr>
      <w:tr>
        <w:tc>
          <w:tcPr>
            <w:tcW w:type="dxa" w:w="3360"/>
            <w:tcMar>
              <w:top w:w="80" w:type="dxa"/>
              <w:start w:w="90" w:type="dxa"/>
              <w:bottom w:w="80" w:type="dxa"/>
              <w:end w:w="90" w:type="dxa"/>
            </w:tcMar>
            <w:vAlign w:val="center"/>
            <w:shd w:fill="F7FAFC"/>
          </w:tcPr>
          <w:p>
            <w:pPr>
              <w:spacing w:after="20" w:before="0" w:line="240" w:lineRule="auto"/>
              <w:jc w:val="left"/>
            </w:pPr>
            <w:r>
              <w:rPr>
                <w:rFonts w:ascii="Aptos" w:hAnsi="Aptos"/>
                <w:b/>
                <w:sz w:val="17"/>
              </w:rPr>
              <w:t>Short phonetically diverse sentence</w:t>
            </w:r>
          </w:p>
        </w:tc>
        <w:tc>
          <w:tcPr>
            <w:tcW w:type="dxa" w:w="3360"/>
            <w:tcMar>
              <w:top w:w="80" w:type="dxa"/>
              <w:start w:w="90" w:type="dxa"/>
              <w:bottom w:w="80" w:type="dxa"/>
              <w:end w:w="90" w:type="dxa"/>
            </w:tcMar>
            <w:vAlign w:val="center"/>
            <w:shd w:fill="F7FAFC"/>
          </w:tcPr>
          <w:p>
            <w:pPr>
              <w:spacing w:after="20" w:before="0" w:line="240" w:lineRule="auto"/>
              <w:jc w:val="left"/>
            </w:pPr>
            <w:r>
              <w:rPr>
                <w:rFonts w:ascii="Aptos" w:hAnsi="Aptos"/>
                <w:sz w:val="17"/>
              </w:rPr>
              <w:t>Cover common vowels, fricatives, and plosives</w:t>
            </w:r>
          </w:p>
        </w:tc>
        <w:tc>
          <w:tcPr>
            <w:tcW w:type="dxa" w:w="3360"/>
            <w:tcMar>
              <w:top w:w="80" w:type="dxa"/>
              <w:start w:w="90" w:type="dxa"/>
              <w:bottom w:w="80" w:type="dxa"/>
              <w:end w:w="90" w:type="dxa"/>
            </w:tcMar>
            <w:vAlign w:val="center"/>
            <w:shd w:fill="F7FAFC"/>
          </w:tcPr>
          <w:p>
            <w:pPr>
              <w:spacing w:after="20" w:before="0" w:line="240" w:lineRule="auto"/>
              <w:jc w:val="left"/>
            </w:pPr>
            <w:r>
              <w:rPr>
                <w:rFonts w:ascii="Aptos" w:hAnsi="Aptos"/>
                <w:sz w:val="17"/>
              </w:rPr>
              <w:t>A clear conversational sentence with mixed consonants and vowels.</w:t>
            </w:r>
          </w:p>
        </w:tc>
      </w:tr>
      <w:tr>
        <w:tc>
          <w:tcPr>
            <w:tcW w:type="dxa" w:w="3360"/>
            <w:tcMar>
              <w:top w:w="80" w:type="dxa"/>
              <w:start w:w="90" w:type="dxa"/>
              <w:bottom w:w="80" w:type="dxa"/>
              <w:end w:w="90" w:type="dxa"/>
            </w:tcMar>
            <w:vAlign w:val="center"/>
          </w:tcPr>
          <w:p>
            <w:pPr>
              <w:spacing w:after="20" w:before="0" w:line="240" w:lineRule="auto"/>
              <w:jc w:val="left"/>
            </w:pPr>
            <w:r>
              <w:rPr>
                <w:rFonts w:ascii="Aptos" w:hAnsi="Aptos"/>
                <w:b/>
                <w:sz w:val="17"/>
              </w:rPr>
              <w:t>Everyday speech sentence</w:t>
            </w:r>
          </w:p>
        </w:tc>
        <w:tc>
          <w:tcPr>
            <w:tcW w:type="dxa" w:w="3360"/>
            <w:tcMar>
              <w:top w:w="80" w:type="dxa"/>
              <w:start w:w="90" w:type="dxa"/>
              <w:bottom w:w="80" w:type="dxa"/>
              <w:end w:w="90" w:type="dxa"/>
            </w:tcMar>
            <w:vAlign w:val="center"/>
          </w:tcPr>
          <w:p>
            <w:pPr>
              <w:spacing w:after="20" w:before="0" w:line="240" w:lineRule="auto"/>
              <w:jc w:val="left"/>
            </w:pPr>
            <w:r>
              <w:rPr>
                <w:rFonts w:ascii="Aptos" w:hAnsi="Aptos"/>
                <w:sz w:val="17"/>
              </w:rPr>
              <w:t>Capture natural prosody rather than read-off stiffness</w:t>
            </w:r>
          </w:p>
        </w:tc>
        <w:tc>
          <w:tcPr>
            <w:tcW w:type="dxa" w:w="3360"/>
            <w:tcMar>
              <w:top w:w="80" w:type="dxa"/>
              <w:start w:w="90" w:type="dxa"/>
              <w:bottom w:w="80" w:type="dxa"/>
              <w:end w:w="90" w:type="dxa"/>
            </w:tcMar>
            <w:vAlign w:val="center"/>
          </w:tcPr>
          <w:p>
            <w:pPr>
              <w:spacing w:after="20" w:before="0" w:line="240" w:lineRule="auto"/>
              <w:jc w:val="left"/>
            </w:pPr>
            <w:r>
              <w:rPr>
                <w:rFonts w:ascii="Aptos" w:hAnsi="Aptos"/>
                <w:sz w:val="17"/>
              </w:rPr>
              <w:t>A sentence someone could say naturally in a social setting.</w:t>
            </w:r>
          </w:p>
        </w:tc>
      </w:tr>
      <w:tr>
        <w:tc>
          <w:tcPr>
            <w:tcW w:type="dxa" w:w="3360"/>
            <w:tcMar>
              <w:top w:w="80" w:type="dxa"/>
              <w:start w:w="90" w:type="dxa"/>
              <w:bottom w:w="80" w:type="dxa"/>
              <w:end w:w="90" w:type="dxa"/>
            </w:tcMar>
            <w:vAlign w:val="center"/>
            <w:shd w:fill="F7FAFC"/>
          </w:tcPr>
          <w:p>
            <w:pPr>
              <w:spacing w:after="20" w:before="0" w:line="240" w:lineRule="auto"/>
              <w:jc w:val="left"/>
            </w:pPr>
            <w:r>
              <w:rPr>
                <w:rFonts w:ascii="Aptos" w:hAnsi="Aptos"/>
                <w:b/>
                <w:sz w:val="17"/>
              </w:rPr>
              <w:t>Digits / names / emphasis sentence</w:t>
            </w:r>
          </w:p>
        </w:tc>
        <w:tc>
          <w:tcPr>
            <w:tcW w:type="dxa" w:w="3360"/>
            <w:tcMar>
              <w:top w:w="80" w:type="dxa"/>
              <w:start w:w="90" w:type="dxa"/>
              <w:bottom w:w="80" w:type="dxa"/>
              <w:end w:w="90" w:type="dxa"/>
            </w:tcMar>
            <w:vAlign w:val="center"/>
            <w:shd w:fill="F7FAFC"/>
          </w:tcPr>
          <w:p>
            <w:pPr>
              <w:spacing w:after="20" w:before="0" w:line="240" w:lineRule="auto"/>
              <w:jc w:val="left"/>
            </w:pPr>
            <w:r>
              <w:rPr>
                <w:rFonts w:ascii="Aptos" w:hAnsi="Aptos"/>
                <w:sz w:val="17"/>
              </w:rPr>
              <w:t>Stress speaker stability under named entities or emphasis</w:t>
            </w:r>
          </w:p>
        </w:tc>
        <w:tc>
          <w:tcPr>
            <w:tcW w:type="dxa" w:w="3360"/>
            <w:tcMar>
              <w:top w:w="80" w:type="dxa"/>
              <w:start w:w="90" w:type="dxa"/>
              <w:bottom w:w="80" w:type="dxa"/>
              <w:end w:w="90" w:type="dxa"/>
            </w:tcMar>
            <w:vAlign w:val="center"/>
            <w:shd w:fill="F7FAFC"/>
          </w:tcPr>
          <w:p>
            <w:pPr>
              <w:spacing w:after="20" w:before="0" w:line="240" w:lineRule="auto"/>
              <w:jc w:val="left"/>
            </w:pPr>
            <w:r>
              <w:rPr>
                <w:rFonts w:ascii="Aptos" w:hAnsi="Aptos"/>
                <w:sz w:val="17"/>
              </w:rPr>
              <w:t>A sentence that includes numbers, names, or slightly emphatic words.</w:t>
            </w:r>
          </w:p>
        </w:tc>
      </w:tr>
    </w:tbl>
    <w:p>
      <w:pPr/>
      <w:r>
        <w:t>The system should reject enrollment takes with clipping, extreme background noise, or less than the minimum voiced duration. That is a better investment than forcing a longer read. For this product, an easy, repeatable, low-friction enrollment flow will matter more than squeezing the last fraction of a percent out of lab-style speaker verification metrics.</w:t>
      </w:r>
    </w:p>
    <w:p>
      <w:pPr>
        <w:pStyle w:val="SubsectionHeading"/>
      </w:pPr>
      <w:r>
        <w:t>Speaker enrollment and naming scorecard</w:t>
      </w:r>
    </w:p>
    <w:p>
      <w:pPr>
        <w:sectPr>
          <w:pgSz w:w="12240" w:h="15840"/>
          <w:pgMar w:top="1008" w:right="1080" w:bottom="1008" w:left="1080" w:header="720" w:footer="720" w:gutter="0"/>
          <w:cols w:space="720"/>
          <w:docGrid w:linePitch="360"/>
        </w:sectPr>
      </w:pPr>
    </w:p>
    <w:p>
      <w:pPr>
        <w:pStyle w:val="SubsectionHeading"/>
      </w:pPr>
      <w:r>
        <w:t>Speaker enrollment and naming scorecard</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c>
          <w:tcPr>
            <w:tcW w:type="dxa" w:w="2880"/>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Option</w:t>
            </w:r>
          </w:p>
        </w:tc>
        <w:tc>
          <w:tcPr>
            <w:tcW w:type="dxa" w:w="1152"/>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Multi-mic</w:t>
            </w:r>
          </w:p>
        </w:tc>
        <w:tc>
          <w:tcPr>
            <w:tcW w:type="dxa" w:w="129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Accuracy / naming</w:t>
            </w:r>
          </w:p>
        </w:tc>
        <w:tc>
          <w:tcPr>
            <w:tcW w:type="dxa" w:w="129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Commercial clarity</w:t>
            </w:r>
          </w:p>
        </w:tc>
        <w:tc>
          <w:tcPr>
            <w:tcW w:type="dxa" w:w="129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Embedded fit</w:t>
            </w:r>
          </w:p>
        </w:tc>
        <w:tc>
          <w:tcPr>
            <w:tcW w:type="dxa" w:w="1440"/>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Streaming / jitter</w:t>
            </w:r>
          </w:p>
        </w:tc>
        <w:tc>
          <w:tcPr>
            <w:tcW w:type="dxa" w:w="1152"/>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Total</w:t>
            </w:r>
          </w:p>
        </w:tc>
        <w:tc>
          <w:tcPr>
            <w:tcW w:type="dxa" w:w="273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Bottom line</w:t>
            </w:r>
          </w:p>
        </w:tc>
      </w:tr>
      <w:tr>
        <w:tc>
          <w:tcPr>
            <w:tcW w:type="dxa" w:w="2880"/>
            <w:tcMar>
              <w:top w:w="80" w:type="dxa"/>
              <w:start w:w="90" w:type="dxa"/>
              <w:bottom w:w="80" w:type="dxa"/>
              <w:end w:w="90" w:type="dxa"/>
            </w:tcMar>
            <w:vAlign w:val="center"/>
            <w:shd w:fill="F7FAFC"/>
          </w:tcPr>
          <w:p>
            <w:pPr>
              <w:spacing w:after="20" w:before="0" w:line="240" w:lineRule="auto"/>
              <w:jc w:val="left"/>
            </w:pPr>
            <w:r>
              <w:rPr>
                <w:rFonts w:ascii="Aptos" w:hAnsi="Aptos"/>
                <w:b/>
                <w:sz w:val="17"/>
              </w:rPr>
              <w:t>Sherpa-ONNX speaker verification / identification</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440"/>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22</w:t>
            </w:r>
          </w:p>
        </w:tc>
        <w:tc>
          <w:tcPr>
            <w:tcW w:type="dxa" w:w="2736"/>
            <w:tcMar>
              <w:top w:w="80" w:type="dxa"/>
              <w:start w:w="90" w:type="dxa"/>
              <w:bottom w:w="80" w:type="dxa"/>
              <w:end w:w="90" w:type="dxa"/>
            </w:tcMar>
            <w:vAlign w:val="center"/>
            <w:shd w:fill="F7FAFC"/>
          </w:tcPr>
          <w:p>
            <w:pPr>
              <w:spacing w:after="20" w:before="0" w:line="240" w:lineRule="auto"/>
              <w:jc w:val="left"/>
            </w:pPr>
            <w:r>
              <w:rPr>
                <w:rFonts w:ascii="Aptos" w:hAnsi="Aptos"/>
                <w:sz w:val="17"/>
              </w:rPr>
              <w:t>Best deployment-oriented path if Sherpa is the runtime center.</w:t>
            </w:r>
          </w:p>
        </w:tc>
      </w:tr>
      <w:tr>
        <w:tc>
          <w:tcPr>
            <w:tcW w:type="dxa" w:w="2880"/>
            <w:tcMar>
              <w:top w:w="80" w:type="dxa"/>
              <w:start w:w="90" w:type="dxa"/>
              <w:bottom w:w="80" w:type="dxa"/>
              <w:end w:w="90" w:type="dxa"/>
            </w:tcMar>
            <w:vAlign w:val="center"/>
          </w:tcPr>
          <w:p>
            <w:pPr>
              <w:spacing w:after="20" w:before="0" w:line="240" w:lineRule="auto"/>
              <w:jc w:val="left"/>
            </w:pPr>
            <w:r>
              <w:rPr>
                <w:rFonts w:ascii="Aptos" w:hAnsi="Aptos"/>
                <w:b/>
                <w:sz w:val="17"/>
              </w:rPr>
              <w:t>WeSpeaker</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3</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4</w:t>
            </w:r>
          </w:p>
        </w:tc>
        <w:tc>
          <w:tcPr>
            <w:tcW w:type="dxa" w:w="1440"/>
            <w:tcMar>
              <w:top w:w="80" w:type="dxa"/>
              <w:start w:w="90" w:type="dxa"/>
              <w:bottom w:w="80" w:type="dxa"/>
              <w:end w:w="90" w:type="dxa"/>
            </w:tcMar>
            <w:vAlign w:val="center"/>
          </w:tcPr>
          <w:p>
            <w:pPr>
              <w:spacing w:after="20" w:before="0" w:line="240" w:lineRule="auto"/>
              <w:jc w:val="center"/>
            </w:pPr>
            <w:r>
              <w:rPr>
                <w:rFonts w:ascii="Aptos" w:hAnsi="Aptos"/>
                <w:sz w:val="17"/>
              </w:rPr>
              <w:t>4</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20</w:t>
            </w:r>
          </w:p>
        </w:tc>
        <w:tc>
          <w:tcPr>
            <w:tcW w:type="dxa" w:w="2736"/>
            <w:tcMar>
              <w:top w:w="80" w:type="dxa"/>
              <w:start w:w="90" w:type="dxa"/>
              <w:bottom w:w="80" w:type="dxa"/>
              <w:end w:w="90" w:type="dxa"/>
            </w:tcMar>
            <w:vAlign w:val="center"/>
          </w:tcPr>
          <w:p>
            <w:pPr>
              <w:spacing w:after="20" w:before="0" w:line="240" w:lineRule="auto"/>
              <w:jc w:val="left"/>
            </w:pPr>
            <w:r>
              <w:rPr>
                <w:rFonts w:ascii="Aptos" w:hAnsi="Aptos"/>
                <w:sz w:val="17"/>
              </w:rPr>
              <w:t>Strong product-oriented embedding toolkit if model-license hygiene is handled carefully.</w:t>
            </w:r>
          </w:p>
        </w:tc>
      </w:tr>
      <w:tr>
        <w:tc>
          <w:tcPr>
            <w:tcW w:type="dxa" w:w="2880"/>
            <w:tcMar>
              <w:top w:w="80" w:type="dxa"/>
              <w:start w:w="90" w:type="dxa"/>
              <w:bottom w:w="80" w:type="dxa"/>
              <w:end w:w="90" w:type="dxa"/>
            </w:tcMar>
            <w:vAlign w:val="center"/>
            <w:shd w:fill="F7FAFC"/>
          </w:tcPr>
          <w:p>
            <w:pPr>
              <w:spacing w:after="20" w:before="0" w:line="240" w:lineRule="auto"/>
              <w:jc w:val="left"/>
            </w:pPr>
            <w:r>
              <w:rPr>
                <w:rFonts w:ascii="Aptos" w:hAnsi="Aptos"/>
                <w:b/>
                <w:sz w:val="17"/>
              </w:rPr>
              <w:t>SpeechBrain ECAPA</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2</w:t>
            </w:r>
          </w:p>
        </w:tc>
        <w:tc>
          <w:tcPr>
            <w:tcW w:type="dxa" w:w="1440"/>
            <w:tcMar>
              <w:top w:w="80" w:type="dxa"/>
              <w:start w:w="90" w:type="dxa"/>
              <w:bottom w:w="80" w:type="dxa"/>
              <w:end w:w="90" w:type="dxa"/>
            </w:tcMar>
            <w:vAlign w:val="center"/>
            <w:shd w:fill="F7FAFC"/>
          </w:tcPr>
          <w:p>
            <w:pPr>
              <w:spacing w:after="20" w:before="0" w:line="240" w:lineRule="auto"/>
              <w:jc w:val="center"/>
            </w:pPr>
            <w:r>
              <w:rPr>
                <w:rFonts w:ascii="Aptos" w:hAnsi="Aptos"/>
                <w:sz w:val="17"/>
              </w:rPr>
              <w:t>3</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19</w:t>
            </w:r>
          </w:p>
        </w:tc>
        <w:tc>
          <w:tcPr>
            <w:tcW w:type="dxa" w:w="2736"/>
            <w:tcMar>
              <w:top w:w="80" w:type="dxa"/>
              <w:start w:w="90" w:type="dxa"/>
              <w:bottom w:w="80" w:type="dxa"/>
              <w:end w:w="90" w:type="dxa"/>
            </w:tcMar>
            <w:vAlign w:val="center"/>
            <w:shd w:fill="F7FAFC"/>
          </w:tcPr>
          <w:p>
            <w:pPr>
              <w:spacing w:after="20" w:before="0" w:line="240" w:lineRule="auto"/>
              <w:jc w:val="left"/>
            </w:pPr>
            <w:r>
              <w:rPr>
                <w:rFonts w:ascii="Aptos" w:hAnsi="Aptos"/>
                <w:sz w:val="17"/>
              </w:rPr>
              <w:t>Best baseline for calibration and comparison; weaker embedded path.</w:t>
            </w:r>
          </w:p>
        </w:tc>
      </w:tr>
      <w:tr>
        <w:tc>
          <w:tcPr>
            <w:tcW w:type="dxa" w:w="2880"/>
            <w:tcMar>
              <w:top w:w="80" w:type="dxa"/>
              <w:start w:w="90" w:type="dxa"/>
              <w:bottom w:w="80" w:type="dxa"/>
              <w:end w:w="90" w:type="dxa"/>
            </w:tcMar>
            <w:vAlign w:val="center"/>
          </w:tcPr>
          <w:p>
            <w:pPr>
              <w:spacing w:after="20" w:before="0" w:line="240" w:lineRule="auto"/>
              <w:jc w:val="left"/>
            </w:pPr>
            <w:r>
              <w:rPr>
                <w:rFonts w:ascii="Aptos" w:hAnsi="Aptos"/>
                <w:b/>
                <w:sz w:val="17"/>
              </w:rPr>
              <w:t>Resemblyzer</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3</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3</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2</w:t>
            </w:r>
          </w:p>
        </w:tc>
        <w:tc>
          <w:tcPr>
            <w:tcW w:type="dxa" w:w="1440"/>
            <w:tcMar>
              <w:top w:w="80" w:type="dxa"/>
              <w:start w:w="90" w:type="dxa"/>
              <w:bottom w:w="80" w:type="dxa"/>
              <w:end w:w="90" w:type="dxa"/>
            </w:tcMar>
            <w:vAlign w:val="center"/>
          </w:tcPr>
          <w:p>
            <w:pPr>
              <w:spacing w:after="20" w:before="0" w:line="240" w:lineRule="auto"/>
              <w:jc w:val="center"/>
            </w:pPr>
            <w:r>
              <w:rPr>
                <w:rFonts w:ascii="Aptos" w:hAnsi="Aptos"/>
                <w:sz w:val="17"/>
              </w:rPr>
              <w:t>2</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15</w:t>
            </w:r>
          </w:p>
        </w:tc>
        <w:tc>
          <w:tcPr>
            <w:tcW w:type="dxa" w:w="2736"/>
            <w:tcMar>
              <w:top w:w="80" w:type="dxa"/>
              <w:start w:w="90" w:type="dxa"/>
              <w:bottom w:w="80" w:type="dxa"/>
              <w:end w:w="90" w:type="dxa"/>
            </w:tcMar>
            <w:vAlign w:val="center"/>
          </w:tcPr>
          <w:p>
            <w:pPr>
              <w:spacing w:after="20" w:before="0" w:line="240" w:lineRule="auto"/>
              <w:jc w:val="left"/>
            </w:pPr>
            <w:r>
              <w:rPr>
                <w:rFonts w:ascii="Aptos" w:hAnsi="Aptos"/>
                <w:sz w:val="17"/>
              </w:rPr>
              <w:t>Useful sandbox and baseline, not the first product choice.</w:t>
            </w:r>
          </w:p>
        </w:tc>
      </w:tr>
    </w:tbl>
    <w:p>
      <w:pPr>
        <w:pStyle w:val="SmallNote"/>
      </w:pPr>
      <w:r>
        <w:t>This scorecard mixes model quality with product-fit. A lower total does not mean a tool is bad; it means it is less aligned with an embedded, streaming, conservative-naming product.</w:t>
      </w:r>
    </w:p>
    <w:p>
      <w:pPr>
        <w:sectPr>
          <w:pgSz w:w="15840" w:h="12240" w:orient="landscape"/>
          <w:pgMar w:top="792" w:right="648" w:bottom="792" w:left="648" w:header="720" w:footer="720" w:gutter="0"/>
          <w:cols w:space="720"/>
          <w:docGrid w:linePitch="360"/>
        </w:sectPr>
      </w:pPr>
    </w:p>
    <w:p>
      <w:pPr>
        <w:pStyle w:val="SubsectionHeading"/>
      </w:pPr>
      <w:r>
        <w:t>7.2 Speaker-library option analysis</w:t>
      </w:r>
    </w:p>
    <w:p>
      <w:pPr>
        <w:pStyle w:val="ToolHeading"/>
      </w:pPr>
      <w:r>
        <w:t>SpeechBrain ECAPA</w:t>
      </w:r>
    </w:p>
    <w:p>
      <w:pPr/>
      <w:r>
        <w:t>Why it matters: SpeechBrain is one of the clearest ways to stand up a robust speaker-embedding baseline quickly. The code license is Apache-2.0 and the commonly used spkrec-ecapa-voxceleb model card is also Apache-2.0, which gives unusually clean commercial clarity for a baseline.</w:t>
      </w:r>
    </w:p>
    <w:p>
      <w:pPr/>
      <w:r>
        <w:t>Strength versus the others: strongest baseline for threshold calibration and easiest path to a defensible first known-speaker evaluation branch.</w:t>
      </w:r>
    </w:p>
    <w:p>
      <w:pPr/>
      <w:r>
        <w:t>Weakness versus WeSpeaker and Sherpa-ONNX: it is fundamentally a PyTorch-heavy toolkit, which makes it a weaker anchor for the eventual low-power runtime.</w:t>
      </w:r>
    </w:p>
    <w:p>
      <w:pPr>
        <w:pStyle w:val="ToolHeading"/>
      </w:pPr>
      <w:r>
        <w:t>WeSpeaker</w:t>
      </w:r>
    </w:p>
    <w:p>
      <w:pPr/>
      <w:r>
        <w:t>Why it matters: WeSpeaker is explicitly framed as research-and-production oriented. It supports embedding extraction, similarity, diarization, and runtime paths that map better to deployment work than a pure research sandbox.</w:t>
      </w:r>
    </w:p>
    <w:p>
      <w:pPr/>
      <w:r>
        <w:t>Strength versus SpeechBrain: better long-term deployment posture and a cleaner bridge toward ONNX-style productization.</w:t>
      </w:r>
    </w:p>
    <w:p>
      <w:pPr/>
      <w:r>
        <w:t>Weakness versus SpeechBrain: artifact license hygiene is less uniform. The toolkit is Apache-2.0, but some official model cards are CC-BY-4.0, so the shipped model choice needs explicit review.</w:t>
      </w:r>
    </w:p>
    <w:p>
      <w:pPr>
        <w:pStyle w:val="ToolHeading"/>
      </w:pPr>
      <w:r>
        <w:t>Sherpa-ONNX speaker verification / identification</w:t>
      </w:r>
    </w:p>
    <w:p>
      <w:pPr/>
      <w:r>
        <w:t>Why it matters: if Sherpa is already chosen for VAD or ASR, using Sherpa for speaker verification keeps the runtime and packaging story coherent across the full pipeline.</w:t>
      </w:r>
    </w:p>
    <w:p>
      <w:pPr/>
      <w:r>
        <w:t>Strength versus SpeechBrain and WeSpeaker: strongest embedded portability and lowest friction when moving from laptop experiments to ARM and device targets.</w:t>
      </w:r>
    </w:p>
    <w:p>
      <w:pPr/>
      <w:r>
        <w:t>Weakness versus the pure toolkit baselines: the exact speaker model and its calibration matter enormously, and Sherpa is more of a runtime/deployment frame than a guarantee of best-in-class naming behavior by itself.</w:t>
      </w:r>
    </w:p>
    <w:p>
      <w:pPr>
        <w:pStyle w:val="ToolHeading"/>
      </w:pPr>
      <w:r>
        <w:t>Resemblyzer</w:t>
      </w:r>
    </w:p>
    <w:p>
      <w:pPr/>
      <w:r>
        <w:t>Why it matters: Resemblyzer remains a good sanity-check tool because it is simple, Apache-2.0, and explicitly demonstrates speaker verification from only a few seconds of reference audio.</w:t>
      </w:r>
    </w:p>
    <w:p>
      <w:pPr/>
      <w:r>
        <w:t>Strength versus the others: fast to get running, intuitive demos, and very low-friction for exploratory evaluation.</w:t>
      </w:r>
    </w:p>
    <w:p>
      <w:pPr/>
      <w:r>
        <w:t>Weakness versus the others: older codebase, English-first behavior, weaker product/embedded story, and less confidence as the main production naming engine.</w:t>
      </w:r>
    </w:p>
    <w:p>
      <w:pPr>
        <w:pStyle w:val="SubsectionHeading"/>
      </w:pPr>
      <w:r>
        <w:t>7.3 What to prototype first for speaker naming</w:t>
      </w:r>
    </w:p>
    <w:p>
      <w:pPr>
        <w:pStyle w:val="BulletTight"/>
      </w:pPr>
      <w:r>
        <w:t>First baseline: SpeechBrain ECAPA or WeSpeaker embeddings in the evaluation harness so that threshold, margin, and Unknown behavior can be tuned transparently.</w:t>
      </w:r>
    </w:p>
    <w:p>
      <w:pPr>
        <w:pStyle w:val="BulletTight"/>
      </w:pPr>
      <w:r>
        <w:t>Deployment branch: move to WeSpeaker or Sherpa-ONNX speaker verification once the acceptance policy is understood.</w:t>
      </w:r>
    </w:p>
    <w:p>
      <w:pPr>
        <w:pStyle w:val="BulletTight"/>
      </w:pPr>
      <w:r>
        <w:t>Do not let ASR chunking alone decide speaker windows. The speaker stage should accumulate a stable voiced span before assigning identity.</w:t>
      </w:r>
    </w:p>
    <w:p>
      <w:pPr>
        <w:pStyle w:val="SectionHeading"/>
      </w:pPr>
      <w:r>
        <w:t>8. Diarization and segmentation: do you actually need them?</w:t>
      </w:r>
    </w:p>
    <w:p>
      <w:pPr/>
      <w:r>
        <w:t>You do need segmentation. You do not necessarily need full diarization in the first product build. That distinction matters. Segmentation is the act of deciding where stable speech windows begin and end so that ASR commits and speaker embeddings are meaningful. Diarization is a heavier attempt to infer speaker turns or clusters across a conversation, including unknown speakers and overlap structure.</w:t>
      </w:r>
    </w:p>
    <w:tbl>
      <w:tblPr>
        <w:tblStyle w:val="TableGrid"/>
        <w:tblW w:type="auto" w:w="0"/>
        <w:jc w:val="center"/>
        <w:tblLook w:firstColumn="1" w:firstRow="1" w:lastColumn="0" w:lastRow="0" w:noHBand="0" w:noVBand="1" w:val="04A0"/>
      </w:tblPr>
      <w:tblGrid>
        <w:gridCol w:w="10080"/>
      </w:tblGrid>
      <w:tr>
        <w:tc>
          <w:tcPr>
            <w:tcW w:type="dxa" w:w="10080"/>
            <w:shd w:fill="F3F8F5"/>
            <w:tcMar>
              <w:top w:w="120" w:type="dxa"/>
              <w:start w:w="120" w:type="dxa"/>
              <w:bottom w:w="120" w:type="dxa"/>
              <w:end w:w="120" w:type="dxa"/>
            </w:tcMar>
          </w:tcPr>
          <w:p>
            <w:pPr>
              <w:pStyle w:val="ToolHeading"/>
            </w:pPr>
            <w:r>
              <w:t>Direct answer</w:t>
            </w:r>
          </w:p>
          <w:p>
            <w:pPr>
              <w:pStyle w:val="BulletTight"/>
            </w:pPr>
            <w:r>
              <w:t>Segmentation is required even if the ASR engine already chunks internally, because ASR chunk boundaries are not the same thing as speaker-stable identity windows.</w:t>
            </w:r>
          </w:p>
          <w:p>
            <w:pPr>
              <w:pStyle w:val="BulletTight"/>
            </w:pPr>
            <w:r>
              <w:t>Full diarization is not required for v1 if the main problem is naming enrolled speakers conservatively and overlap is not the dominant error source.</w:t>
            </w:r>
          </w:p>
          <w:p>
            <w:pPr>
              <w:pStyle w:val="BulletTight"/>
            </w:pPr>
            <w:r>
              <w:t>If social-gathering audio later shows frequent overlap or many unenrolled speakers, diarization becomes more valuable. Until then, it is extra compute and complexity.</w:t>
            </w:r>
          </w:p>
        </w:tc>
      </w:tr>
    </w:tbl>
    <w:p>
      <w:pPr>
        <w:pStyle w:val="SubsectionHeading"/>
      </w:pPr>
      <w:r>
        <w:t>Diarization and segmentation scorecard</w:t>
      </w:r>
    </w:p>
    <w:p>
      <w:pPr>
        <w:sectPr>
          <w:pgSz w:w="12240" w:h="15840"/>
          <w:pgMar w:top="1008" w:right="1080" w:bottom="1008" w:left="1080" w:header="720" w:footer="720" w:gutter="0"/>
          <w:cols w:space="720"/>
          <w:docGrid w:linePitch="360"/>
        </w:sectPr>
      </w:pPr>
    </w:p>
    <w:p>
      <w:pPr>
        <w:pStyle w:val="SubsectionHeading"/>
      </w:pPr>
      <w:r>
        <w:t>Diarization and segmentation scorecard</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c>
          <w:tcPr>
            <w:tcW w:type="dxa" w:w="2880"/>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Option</w:t>
            </w:r>
          </w:p>
        </w:tc>
        <w:tc>
          <w:tcPr>
            <w:tcW w:type="dxa" w:w="1152"/>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Multi-mic</w:t>
            </w:r>
          </w:p>
        </w:tc>
        <w:tc>
          <w:tcPr>
            <w:tcW w:type="dxa" w:w="129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Accuracy / naming</w:t>
            </w:r>
          </w:p>
        </w:tc>
        <w:tc>
          <w:tcPr>
            <w:tcW w:type="dxa" w:w="129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Commercial clarity</w:t>
            </w:r>
          </w:p>
        </w:tc>
        <w:tc>
          <w:tcPr>
            <w:tcW w:type="dxa" w:w="129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Embedded fit</w:t>
            </w:r>
          </w:p>
        </w:tc>
        <w:tc>
          <w:tcPr>
            <w:tcW w:type="dxa" w:w="1440"/>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Streaming / jitter</w:t>
            </w:r>
          </w:p>
        </w:tc>
        <w:tc>
          <w:tcPr>
            <w:tcW w:type="dxa" w:w="1152"/>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Total</w:t>
            </w:r>
          </w:p>
        </w:tc>
        <w:tc>
          <w:tcPr>
            <w:tcW w:type="dxa" w:w="2736"/>
            <w:tcMar>
              <w:top w:w="80" w:type="dxa"/>
              <w:start w:w="90" w:type="dxa"/>
              <w:bottom w:w="80" w:type="dxa"/>
              <w:end w:w="90" w:type="dxa"/>
            </w:tcMar>
            <w:vAlign w:val="center"/>
            <w:shd w:fill="1F4E79"/>
          </w:tcPr>
          <w:p>
            <w:pPr>
              <w:spacing w:after="20" w:before="0" w:line="240" w:lineRule="auto"/>
              <w:jc w:val="center"/>
            </w:pPr>
            <w:r>
              <w:rPr>
                <w:rFonts w:ascii="Aptos" w:hAnsi="Aptos"/>
                <w:b/>
                <w:color w:val="FFFFFF"/>
                <w:sz w:val="17"/>
              </w:rPr>
              <w:t>Bottom line</w:t>
            </w:r>
          </w:p>
        </w:tc>
      </w:tr>
      <w:tr>
        <w:tc>
          <w:tcPr>
            <w:tcW w:type="dxa" w:w="2880"/>
            <w:tcMar>
              <w:top w:w="80" w:type="dxa"/>
              <w:start w:w="90" w:type="dxa"/>
              <w:bottom w:w="80" w:type="dxa"/>
              <w:end w:w="90" w:type="dxa"/>
            </w:tcMar>
            <w:vAlign w:val="center"/>
            <w:shd w:fill="F7FAFC"/>
          </w:tcPr>
          <w:p>
            <w:pPr>
              <w:spacing w:after="20" w:before="0" w:line="240" w:lineRule="auto"/>
              <w:jc w:val="left"/>
            </w:pPr>
            <w:r>
              <w:rPr>
                <w:rFonts w:ascii="Aptos" w:hAnsi="Aptos"/>
                <w:b/>
                <w:sz w:val="17"/>
              </w:rPr>
              <w:t>VAD + speaker-change heuristics + enrollment matching</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440"/>
            <w:tcMar>
              <w:top w:w="80" w:type="dxa"/>
              <w:start w:w="90" w:type="dxa"/>
              <w:bottom w:w="80" w:type="dxa"/>
              <w:end w:w="90" w:type="dxa"/>
            </w:tcMar>
            <w:vAlign w:val="center"/>
            <w:shd w:fill="F7FAFC"/>
          </w:tcPr>
          <w:p>
            <w:pPr>
              <w:spacing w:after="20" w:before="0" w:line="240" w:lineRule="auto"/>
              <w:jc w:val="center"/>
            </w:pPr>
            <w:r>
              <w:rPr>
                <w:rFonts w:ascii="Aptos" w:hAnsi="Aptos"/>
                <w:sz w:val="17"/>
              </w:rPr>
              <w:t>5</w:t>
            </w:r>
          </w:p>
        </w:tc>
        <w:tc>
          <w:tcPr>
            <w:tcW w:type="dxa" w:w="1152"/>
            <w:tcMar>
              <w:top w:w="80" w:type="dxa"/>
              <w:start w:w="90" w:type="dxa"/>
              <w:bottom w:w="80" w:type="dxa"/>
              <w:end w:w="90" w:type="dxa"/>
            </w:tcMar>
            <w:vAlign w:val="center"/>
            <w:shd w:fill="F7FAFC"/>
          </w:tcPr>
          <w:p>
            <w:pPr>
              <w:spacing w:after="20" w:before="0" w:line="240" w:lineRule="auto"/>
              <w:jc w:val="center"/>
            </w:pPr>
            <w:r>
              <w:rPr>
                <w:rFonts w:ascii="Aptos" w:hAnsi="Aptos"/>
                <w:sz w:val="17"/>
              </w:rPr>
              <w:t>23</w:t>
            </w:r>
          </w:p>
        </w:tc>
        <w:tc>
          <w:tcPr>
            <w:tcW w:type="dxa" w:w="2736"/>
            <w:tcMar>
              <w:top w:w="80" w:type="dxa"/>
              <w:start w:w="90" w:type="dxa"/>
              <w:bottom w:w="80" w:type="dxa"/>
              <w:end w:w="90" w:type="dxa"/>
            </w:tcMar>
            <w:vAlign w:val="center"/>
            <w:shd w:fill="F7FAFC"/>
          </w:tcPr>
          <w:p>
            <w:pPr>
              <w:spacing w:after="20" w:before="0" w:line="240" w:lineRule="auto"/>
              <w:jc w:val="left"/>
            </w:pPr>
            <w:r>
              <w:rPr>
                <w:rFonts w:ascii="Aptos" w:hAnsi="Aptos"/>
                <w:sz w:val="17"/>
              </w:rPr>
              <w:t>Best first-path architecture for this product.</w:t>
            </w:r>
          </w:p>
        </w:tc>
      </w:tr>
      <w:tr>
        <w:tc>
          <w:tcPr>
            <w:tcW w:type="dxa" w:w="2880"/>
            <w:tcMar>
              <w:top w:w="80" w:type="dxa"/>
              <w:start w:w="90" w:type="dxa"/>
              <w:bottom w:w="80" w:type="dxa"/>
              <w:end w:w="90" w:type="dxa"/>
            </w:tcMar>
            <w:vAlign w:val="center"/>
          </w:tcPr>
          <w:p>
            <w:pPr>
              <w:spacing w:after="20" w:before="0" w:line="240" w:lineRule="auto"/>
              <w:jc w:val="left"/>
            </w:pPr>
            <w:r>
              <w:rPr>
                <w:rFonts w:ascii="Aptos" w:hAnsi="Aptos"/>
                <w:b/>
                <w:sz w:val="17"/>
              </w:rPr>
              <w:t>Sherpa-ONNX diarization</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5</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4</w:t>
            </w:r>
          </w:p>
        </w:tc>
        <w:tc>
          <w:tcPr>
            <w:tcW w:type="dxa" w:w="1296"/>
            <w:tcMar>
              <w:top w:w="80" w:type="dxa"/>
              <w:start w:w="90" w:type="dxa"/>
              <w:bottom w:w="80" w:type="dxa"/>
              <w:end w:w="90" w:type="dxa"/>
            </w:tcMar>
            <w:vAlign w:val="center"/>
          </w:tcPr>
          <w:p>
            <w:pPr>
              <w:spacing w:after="20" w:before="0" w:line="240" w:lineRule="auto"/>
              <w:jc w:val="center"/>
            </w:pPr>
            <w:r>
              <w:rPr>
                <w:rFonts w:ascii="Aptos" w:hAnsi="Aptos"/>
                <w:sz w:val="17"/>
              </w:rPr>
              <w:t>4</w:t>
            </w:r>
          </w:p>
        </w:tc>
        <w:tc>
          <w:tcPr>
            <w:tcW w:type="dxa" w:w="1440"/>
            <w:tcMar>
              <w:top w:w="80" w:type="dxa"/>
              <w:start w:w="90" w:type="dxa"/>
              <w:bottom w:w="80" w:type="dxa"/>
              <w:end w:w="90" w:type="dxa"/>
            </w:tcMar>
            <w:vAlign w:val="center"/>
          </w:tcPr>
          <w:p>
            <w:pPr>
              <w:spacing w:after="20" w:before="0" w:line="240" w:lineRule="auto"/>
              <w:jc w:val="center"/>
            </w:pPr>
            <w:r>
              <w:rPr>
                <w:rFonts w:ascii="Aptos" w:hAnsi="Aptos"/>
                <w:sz w:val="17"/>
              </w:rPr>
              <w:t>3</w:t>
            </w:r>
          </w:p>
        </w:tc>
        <w:tc>
          <w:tcPr>
            <w:tcW w:type="dxa" w:w="1152"/>
            <w:tcMar>
              <w:top w:w="80" w:type="dxa"/>
              <w:start w:w="90" w:type="dxa"/>
              <w:bottom w:w="80" w:type="dxa"/>
              <w:end w:w="90" w:type="dxa"/>
            </w:tcMar>
            <w:vAlign w:val="center"/>
          </w:tcPr>
          <w:p>
            <w:pPr>
              <w:spacing w:after="20" w:before="0" w:line="240" w:lineRule="auto"/>
              <w:jc w:val="center"/>
            </w:pPr>
            <w:r>
              <w:rPr>
                <w:rFonts w:ascii="Aptos" w:hAnsi="Aptos"/>
                <w:sz w:val="17"/>
              </w:rPr>
              <w:t>20</w:t>
            </w:r>
          </w:p>
        </w:tc>
        <w:tc>
          <w:tcPr>
            <w:tcW w:type="dxa" w:w="2736"/>
            <w:tcMar>
              <w:top w:w="80" w:type="dxa"/>
              <w:start w:w="90" w:type="dxa"/>
              <w:bottom w:w="80" w:type="dxa"/>
              <w:end w:w="90" w:type="dxa"/>
            </w:tcMar>
            <w:vAlign w:val="center"/>
          </w:tcPr>
          <w:p>
            <w:pPr>
              <w:spacing w:after="20" w:before="0" w:line="240" w:lineRule="auto"/>
              <w:jc w:val="left"/>
            </w:pPr>
            <w:r>
              <w:rPr>
                <w:rFonts w:ascii="Aptos" w:hAnsi="Aptos"/>
                <w:sz w:val="17"/>
              </w:rPr>
              <w:t>Keep as a later branch for overlap-heavy or unknown-speaker cases.</w:t>
            </w:r>
          </w:p>
        </w:tc>
      </w:tr>
    </w:tbl>
    <w:p>
      <w:pPr>
        <w:pStyle w:val="SmallNote"/>
      </w:pPr>
      <w:r>
        <w:t>The score favors the lighter heuristic route because the requested product is centered on enrolled-speaker naming, not generic diarization research. In an overlap-heavy product, the trade-off could shift.</w:t>
      </w:r>
    </w:p>
    <w:p>
      <w:pPr>
        <w:sectPr>
          <w:pgSz w:w="15840" w:h="12240" w:orient="landscape"/>
          <w:pgMar w:top="792" w:right="648" w:bottom="792" w:left="648" w:header="720" w:footer="720" w:gutter="0"/>
          <w:cols w:space="720"/>
          <w:docGrid w:linePitch="360"/>
        </w:sectPr>
      </w:pPr>
    </w:p>
    <w:p>
      <w:pPr>
        <w:pStyle w:val="SubsectionHeading"/>
      </w:pPr>
      <w:r>
        <w:t>8.1 Comparison of the two options</w:t>
      </w:r>
    </w:p>
    <w:p>
      <w:pPr>
        <w:pStyle w:val="ToolHeading"/>
      </w:pPr>
      <w:r>
        <w:t>VAD + speaker-change heuristics + enrollment matching</w:t>
      </w:r>
    </w:p>
    <w:p>
      <w:pPr/>
      <w:r>
        <w:t>This path uses VAD to find voiced spans, simple change heuristics to avoid spanning across obvious turn boundaries, and enrollment matching to assign known names or Unknown. It is aligned with your stated requirement: correctly associate enrolled speakers and stay conservative otherwise.</w:t>
      </w:r>
    </w:p>
    <w:p>
      <w:pPr/>
      <w:r>
        <w:t>Its main advantage is product clarity. Every output label corresponds directly to an enrolled identity decision, not to a later cluster interpretation step. It is also easier to debug when speaker naming fails.</w:t>
      </w:r>
    </w:p>
    <w:p>
      <w:pPr/>
      <w:r>
        <w:t>Its main weakness is overlap and unknown-speaker structure. If two people speak at once or if many unenrolled speakers need to be separated consistently, heuristics can saturate quickly.</w:t>
      </w:r>
    </w:p>
    <w:p>
      <w:pPr>
        <w:pStyle w:val="ToolHeading"/>
      </w:pPr>
      <w:r>
        <w:t>Sherpa-ONNX diarization</w:t>
      </w:r>
    </w:p>
    <w:p>
      <w:pPr/>
      <w:r>
        <w:t>Sherpa-ONNX diarization is attractive because it stays within the same offline, embedded-friendly runtime family as the rest of Sherpa. It is the more serious option when conversation structure itself becomes the problem.</w:t>
      </w:r>
    </w:p>
    <w:p>
      <w:pPr/>
      <w:r>
        <w:t>Its main advantage is better handling of unknown-speaker turn structure and future overlap-heavy scenarios. Its main weakness is that diarization clusters and speaker naming are not the same task. You still need a matching layer from diarization outputs to enrolled identities, which adds system complexity and latency.</w:t>
      </w:r>
    </w:p>
    <w:p>
      <w:pPr/>
      <w:r>
        <w:t>For your current product goals, diarization should therefore be treated as a reserved branch, not as a required baseline.</w:t>
      </w:r>
    </w:p>
    <w:p>
      <w:pPr>
        <w:pStyle w:val="SubsectionHeading"/>
      </w:pPr>
      <w:r>
        <w:t>8.2 Recommended segmentation logic for v1</w:t>
      </w:r>
    </w:p>
    <w:p>
      <w:pPr>
        <w:pStyle w:val="BulletTight"/>
      </w:pPr>
      <w:r>
        <w:t>Run VAD continuously on short frames.</w:t>
      </w:r>
    </w:p>
    <w:p>
      <w:pPr>
        <w:pStyle w:val="BulletTight"/>
      </w:pPr>
      <w:r>
        <w:t>Merge very short gaps so a speaker is not split every time they pause briefly.</w:t>
      </w:r>
    </w:p>
    <w:p>
      <w:pPr>
        <w:pStyle w:val="BulletTight"/>
      </w:pPr>
      <w:r>
        <w:t>Accumulate voiced audio until either a max window is reached or a speaker-change heuristic fires.</w:t>
      </w:r>
    </w:p>
    <w:p>
      <w:pPr>
        <w:pStyle w:val="BulletTight"/>
      </w:pPr>
      <w:r>
        <w:t>Allow ASR partials to update faster than speaker confirmation.</w:t>
      </w:r>
    </w:p>
    <w:p>
      <w:pPr>
        <w:pStyle w:val="BulletTight"/>
      </w:pPr>
      <w:r>
        <w:t>Only assign a speaker label once enough voiced speech exists for a stable embedding and the top score passes threshold plus margin.</w:t>
      </w:r>
    </w:p>
    <w:p>
      <w:pPr>
        <w:pStyle w:val="SectionHeading"/>
      </w:pPr>
      <w:r>
        <w:t>9. Real-time factor, bounded jitter, and what to measure</w:t>
      </w:r>
    </w:p>
    <w:p>
      <w:pPr/>
      <w:r>
        <w:t>Real-time factor is necessary, but it is not enough. A pipeline can average faster than wall clock and still feel bad in the product if one stage occasionally stalls, builds queue backlog, or produces bursty partials. For this project, the operating requirement is therefore not just real-time factor below one. It is real-time factor below one with bounded jitter, bounded queue growth, and predictable end-to-end latency for partial text, final text, and delayed speaker confirmation.</w:t>
      </w:r>
    </w:p>
    <w:tbl>
      <w:tblPr>
        <w:tblStyle w:val="TableGrid"/>
        <w:tblW w:type="auto" w:w="0"/>
        <w:jc w:val="center"/>
        <w:tblLook w:firstColumn="1" w:firstRow="1" w:lastColumn="0" w:lastRow="0" w:noHBand="0" w:noVBand="1" w:val="04A0"/>
      </w:tblPr>
      <w:tblGrid>
        <w:gridCol w:w="10080"/>
      </w:tblGrid>
      <w:tr>
        <w:tc>
          <w:tcPr>
            <w:tcW w:type="dxa" w:w="10080"/>
            <w:shd w:fill="FFF6E8"/>
            <w:tcMar>
              <w:top w:w="120" w:type="dxa"/>
              <w:start w:w="120" w:type="dxa"/>
              <w:bottom w:w="120" w:type="dxa"/>
              <w:end w:w="120" w:type="dxa"/>
            </w:tcMar>
          </w:tcPr>
          <w:p>
            <w:pPr>
              <w:pStyle w:val="ToolHeading"/>
            </w:pPr>
            <w:r>
              <w:t>Definitions that matter in this project</w:t>
            </w:r>
          </w:p>
          <w:p>
            <w:pPr>
              <w:pStyle w:val="BulletTight"/>
            </w:pPr>
            <w:r>
              <w:t>Real-time factor (RTF): processing time divided by audio time. An RTF of 0.5 means the stage processes one second of audio in half a second.</w:t>
            </w:r>
          </w:p>
          <w:p>
            <w:pPr>
              <w:pStyle w:val="BulletTight"/>
            </w:pPr>
            <w:r>
              <w:t>Bounded jitter: p95 and p99 stage latency stay inside the buffer budget instead of occasionally exploding and forcing late partials, dropped audio, or unbounded queue growth.</w:t>
            </w:r>
          </w:p>
          <w:p>
            <w:pPr>
              <w:pStyle w:val="BulletTight"/>
            </w:pPr>
            <w:r>
              <w:t>Capture-to-partial latency: microphone arrival to the first visible ASR partial update.</w:t>
            </w:r>
          </w:p>
          <w:p>
            <w:pPr>
              <w:pStyle w:val="BulletTight"/>
            </w:pPr>
            <w:r>
              <w:t>Speech-end-to-final latency: end of a spoken segment to the final committed transcript text.</w:t>
            </w:r>
          </w:p>
          <w:p>
            <w:pPr>
              <w:pStyle w:val="BulletTight"/>
            </w:pPr>
            <w:r>
              <w:t>Speaker-confirmation latency: time from enough voiced audio being available to the moment a speaker label is accepted or rejected as Unknown.</w:t>
            </w:r>
          </w:p>
        </w:tc>
      </w:tr>
    </w:tbl>
    <w:p>
      <w:pPr/>
      <w:r>
        <w:t>The practical implication is straightforward. The product should tolerate the speaker stage being slightly slower than the ASR stage, but it should never let that slower decision block capture or partial text. The queues must remain bounded, and every stage must be able to shed work or defer nonessential refinement rather than stalling the stream.</w:t>
      </w:r>
    </w:p>
    <w:p>
      <w:pPr>
        <w:pStyle w:val="SubsectionHeading"/>
      </w:pPr>
      <w:r>
        <w:t>9.1 Recommended latency targets</w:t>
      </w:r>
    </w:p>
    <w:p>
      <w:pPr>
        <w:pStyle w:val="SubsectionHeading"/>
      </w:pPr>
      <w:r>
        <w:t>Latency targets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Mar>
              <w:top w:w="80" w:type="dxa"/>
              <w:start w:w="90" w:type="dxa"/>
              <w:bottom w:w="80" w:type="dxa"/>
              <w:end w:w="90" w:type="dxa"/>
            </w:tcMar>
            <w:vAlign w:val="center"/>
            <w:shd w:fill="1F4E79"/>
            <w:shd w:fill="1F4E79"/>
          </w:tcPr>
          <w:p>
            <w:pPr>
              <w:spacing w:after="20" w:before="0" w:line="240" w:lineRule="auto"/>
              <w:jc w:val="center"/>
            </w:pPr>
            <w:r>
              <w:rPr>
                <w:rFonts w:ascii="Aptos" w:hAnsi="Aptos"/>
                <w:b/>
                <w:color w:val="FFFFFF"/>
                <w:sz w:val="17"/>
              </w:rPr>
              <w:t>Metric</w:t>
            </w:r>
          </w:p>
        </w:tc>
        <w:tc>
          <w:tcPr>
            <w:tcW w:type="dxa" w:w="2520"/>
            <w:tcMar>
              <w:top w:w="80" w:type="dxa"/>
              <w:start w:w="90" w:type="dxa"/>
              <w:bottom w:w="80" w:type="dxa"/>
              <w:end w:w="90" w:type="dxa"/>
            </w:tcMar>
            <w:vAlign w:val="center"/>
            <w:shd w:fill="1F4E79"/>
            <w:shd w:fill="1F4E79"/>
          </w:tcPr>
          <w:p>
            <w:pPr>
              <w:spacing w:after="20" w:before="0" w:line="240" w:lineRule="auto"/>
              <w:jc w:val="center"/>
            </w:pPr>
            <w:r>
              <w:rPr>
                <w:rFonts w:ascii="Aptos" w:hAnsi="Aptos"/>
                <w:b/>
                <w:color w:val="FFFFFF"/>
                <w:sz w:val="17"/>
              </w:rPr>
              <w:t>Good target</w:t>
            </w:r>
          </w:p>
        </w:tc>
        <w:tc>
          <w:tcPr>
            <w:tcW w:type="dxa" w:w="2520"/>
            <w:tcMar>
              <w:top w:w="80" w:type="dxa"/>
              <w:start w:w="90" w:type="dxa"/>
              <w:bottom w:w="80" w:type="dxa"/>
              <w:end w:w="90" w:type="dxa"/>
            </w:tcMar>
            <w:vAlign w:val="center"/>
            <w:shd w:fill="1F4E79"/>
            <w:shd w:fill="1F4E79"/>
          </w:tcPr>
          <w:p>
            <w:pPr>
              <w:spacing w:after="20" w:before="0" w:line="240" w:lineRule="auto"/>
              <w:jc w:val="center"/>
            </w:pPr>
            <w:r>
              <w:rPr>
                <w:rFonts w:ascii="Aptos" w:hAnsi="Aptos"/>
                <w:b/>
                <w:color w:val="FFFFFF"/>
                <w:sz w:val="17"/>
              </w:rPr>
              <w:t>Acceptable target</w:t>
            </w:r>
          </w:p>
        </w:tc>
        <w:tc>
          <w:tcPr>
            <w:tcW w:type="dxa" w:w="2520"/>
            <w:tcMar>
              <w:top w:w="80" w:type="dxa"/>
              <w:start w:w="90" w:type="dxa"/>
              <w:bottom w:w="80" w:type="dxa"/>
              <w:end w:w="90" w:type="dxa"/>
            </w:tcMar>
            <w:vAlign w:val="center"/>
            <w:shd w:fill="1F4E79"/>
            <w:shd w:fill="1F4E79"/>
          </w:tcPr>
          <w:p>
            <w:pPr>
              <w:spacing w:after="20" w:before="0" w:line="240" w:lineRule="auto"/>
              <w:jc w:val="center"/>
            </w:pPr>
            <w:r>
              <w:rPr>
                <w:rFonts w:ascii="Aptos" w:hAnsi="Aptos"/>
                <w:b/>
                <w:color w:val="FFFFFF"/>
                <w:sz w:val="17"/>
              </w:rPr>
              <w:t>Why it matters</w:t>
            </w:r>
          </w:p>
        </w:tc>
      </w:tr>
      <w:tr>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b/>
                <w:sz w:val="17"/>
              </w:rPr>
              <w:t>Capture to first partial text</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7"/>
              </w:rPr>
              <w:t>200–500 ms</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7"/>
              </w:rPr>
              <w:t>up to 800 ms</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7"/>
              </w:rPr>
              <w:t>This is what makes the system feel live rather than batchy.</w:t>
            </w:r>
          </w:p>
        </w:tc>
      </w:tr>
      <w:tr>
        <w:tc>
          <w:tcPr>
            <w:tcW w:type="dxa" w:w="2520"/>
            <w:tcMar>
              <w:top w:w="80" w:type="dxa"/>
              <w:start w:w="90" w:type="dxa"/>
              <w:bottom w:w="80" w:type="dxa"/>
              <w:end w:w="90" w:type="dxa"/>
            </w:tcMar>
            <w:vAlign w:val="center"/>
          </w:tcPr>
          <w:p>
            <w:pPr>
              <w:spacing w:after="20" w:before="0" w:line="240" w:lineRule="auto"/>
              <w:jc w:val="left"/>
            </w:pPr>
            <w:r>
              <w:rPr>
                <w:rFonts w:ascii="Aptos" w:hAnsi="Aptos"/>
                <w:b/>
                <w:sz w:val="17"/>
              </w:rPr>
              <w:t>Speech end to final text</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7"/>
              </w:rPr>
              <w:t>500–1200 ms</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7"/>
              </w:rPr>
              <w:t>up to 2.0 s</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7"/>
              </w:rPr>
              <w:t>Users tolerate a short commit delay if partials remain smooth.</w:t>
            </w:r>
          </w:p>
        </w:tc>
      </w:tr>
      <w:tr>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b/>
                <w:sz w:val="17"/>
              </w:rPr>
              <w:t>Speaker confirmation</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7"/>
              </w:rPr>
              <w:t>0.8–1.5 s after enough voiced speech</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7"/>
              </w:rPr>
              <w:t>up to 2.5 s</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7"/>
              </w:rPr>
              <w:t>A short delay is acceptable if it materially reduces wrong known-speaker labels.</w:t>
            </w:r>
          </w:p>
        </w:tc>
      </w:tr>
      <w:tr>
        <w:tc>
          <w:tcPr>
            <w:tcW w:type="dxa" w:w="2520"/>
            <w:tcMar>
              <w:top w:w="80" w:type="dxa"/>
              <w:start w:w="90" w:type="dxa"/>
              <w:bottom w:w="80" w:type="dxa"/>
              <w:end w:w="90" w:type="dxa"/>
            </w:tcMar>
            <w:vAlign w:val="center"/>
          </w:tcPr>
          <w:p>
            <w:pPr>
              <w:spacing w:after="20" w:before="0" w:line="240" w:lineRule="auto"/>
              <w:jc w:val="left"/>
            </w:pPr>
            <w:r>
              <w:rPr>
                <w:rFonts w:ascii="Aptos" w:hAnsi="Aptos"/>
                <w:b/>
                <w:sz w:val="17"/>
              </w:rPr>
              <w:t>Per-stage RTF</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7"/>
              </w:rPr>
              <w:t>&lt; 0.5 for primary heavy stages</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7"/>
              </w:rPr>
              <w:t>&lt; 0.8</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7"/>
              </w:rPr>
              <w:t>Headroom is needed for bursts, background work, and worse-than-average audio.</w:t>
            </w:r>
          </w:p>
        </w:tc>
      </w:tr>
      <w:tr>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b/>
                <w:sz w:val="17"/>
              </w:rPr>
              <w:t>Queue age / backlog</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7"/>
              </w:rPr>
              <w:t>stable near zero</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7"/>
              </w:rPr>
              <w:t>never unbounded</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7"/>
              </w:rPr>
              <w:t>Queue age is the early-warning signal for future latency spikes.</w:t>
            </w:r>
          </w:p>
        </w:tc>
      </w:tr>
    </w:tbl>
    <w:p>
      <w:pPr>
        <w:pStyle w:val="SubsectionHeading"/>
      </w:pPr>
      <w:r>
        <w:t>9.2 Instrumentation that should exist from the first prototype</w:t>
      </w:r>
    </w:p>
    <w:p>
      <w:pPr>
        <w:pStyle w:val="BulletTight"/>
      </w:pPr>
      <w:r>
        <w:t>Per-stage timing for capture, replay, VAD, denoising, ASR partial decode, ASR finalization, speaker embedding extraction, and speaker scoring.</w:t>
      </w:r>
    </w:p>
    <w:p>
      <w:pPr>
        <w:pStyle w:val="BulletTight"/>
      </w:pPr>
      <w:r>
        <w:t>Ring-buffer fill level high-water mark and queue age for every inter-stage queue.</w:t>
      </w:r>
    </w:p>
    <w:p>
      <w:pPr>
        <w:pStyle w:val="BulletTight"/>
      </w:pPr>
      <w:r>
        <w:t>Callback or worker overruns, underruns, and dropped-frame counts.</w:t>
      </w:r>
    </w:p>
    <w:p>
      <w:pPr>
        <w:pStyle w:val="BulletTight"/>
      </w:pPr>
      <w:r>
        <w:t>p50, p95, and p99 of capture-to-partial latency, speech-end-to-final latency, and speaker-confirmation latency.</w:t>
      </w:r>
    </w:p>
    <w:p>
      <w:pPr>
        <w:pStyle w:val="BulletTight"/>
      </w:pPr>
      <w:r>
        <w:t>Audio-time versus processing-time logs so real-time factor can be computed by stage and for the whole pipeline.</w:t>
      </w:r>
    </w:p>
    <w:p>
      <w:pPr>
        <w:pStyle w:val="BulletTight"/>
      </w:pPr>
      <w:r>
        <w:t>A run-level summary that is written by both live-stream runs and replay-from-file runs so the same benchmark language applies to evaluation and product experiments.</w:t>
      </w:r>
    </w:p>
    <w:p>
      <w:pPr/>
      <w:r>
        <w:t>This is also the reason the replay path should imitate a live PCM microphone rather than acting like a file batch loader. If the evaluation harness feeds WAV or FLAC data into the same bounded ring-buffer path that live audio will use later, queue behavior, callback timing, and stage budget violations become visible much earlier.</w:t>
      </w:r>
    </w:p>
    <w:p>
      <w:pPr>
        <w:pStyle w:val="SubsectionHeading"/>
      </w:pPr>
      <w:r>
        <w:t>9.3 What to optimize first when the pipeline misses timing</w:t>
      </w:r>
    </w:p>
    <w:p>
      <w:pPr>
        <w:pStyle w:val="BulletTight"/>
      </w:pPr>
      <w:r>
        <w:t>First, shorten or simplify the ASR update path before touching the capture path.</w:t>
      </w:r>
    </w:p>
    <w:p>
      <w:pPr>
        <w:pStyle w:val="BulletTight"/>
      </w:pPr>
      <w:r>
        <w:t>Second, delay speaker confirmation rather than forcing identity decisions on too little voiced speech.</w:t>
      </w:r>
    </w:p>
    <w:p>
      <w:pPr>
        <w:pStyle w:val="BulletTight"/>
      </w:pPr>
      <w:r>
        <w:t>Third, keep denoising and multi-mic processing behind a run-start toggle so timing and accuracy can be compared directly with and without the front-end.</w:t>
      </w:r>
    </w:p>
    <w:p>
      <w:pPr>
        <w:pStyle w:val="BulletTight"/>
      </w:pPr>
      <w:r>
        <w:t>Fourth, prefer smaller or quantized embedded-oriented models before attempting heroic low-level optimization of an oversized model.</w:t>
      </w:r>
    </w:p>
    <w:p>
      <w:pPr>
        <w:pStyle w:val="BulletTight"/>
      </w:pPr>
      <w:r>
        <w:t>Fifth, only then move more code into custom C or C++ glue. Custom code is excellent for replay adapters, ring buffers, format decoding, and simple heuristics, but it is not the first place to replace a mature ASR or speaker model.</w:t>
      </w:r>
    </w:p>
    <w:p>
      <w:pPr>
        <w:pStyle w:val="SectionHeading"/>
      </w:pPr>
      <w:r>
        <w:t>10. Overall recommendations and shortlist</w:t>
      </w:r>
    </w:p>
    <w:p>
      <w:pPr/>
      <w:r>
        <w:t>Across the requested criteria, one pattern is consistent. The most seamless path from the current evaluation harness to a power-conscious embedded product is to standardize early on a microphone-like PCM stream contract, keep the front-end togglable, choose runtimes that already have an embedded and streaming story, and avoid introducing full diarization before the enrollment-based naming path is proven.</w:t>
      </w:r>
    </w:p>
    <w:p>
      <w:pPr>
        <w:pStyle w:val="SubsectionHeading"/>
        <w:pageBreakBefore/>
      </w:pPr>
      <w:r>
        <w:t>10.1 Component-by-component winners and runners-up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Mar>
              <w:top w:w="80" w:type="dxa"/>
              <w:start w:w="90" w:type="dxa"/>
              <w:bottom w:w="80" w:type="dxa"/>
              <w:end w:w="90" w:type="dxa"/>
            </w:tcMar>
            <w:vAlign w:val="center"/>
            <w:shd w:fill="1F4E79"/>
            <w:shd w:fill="1F4E79"/>
          </w:tcPr>
          <w:p>
            <w:pPr>
              <w:spacing w:after="20" w:before="0" w:line="240" w:lineRule="auto"/>
              <w:jc w:val="center"/>
            </w:pPr>
            <w:r>
              <w:rPr>
                <w:rFonts w:ascii="Aptos" w:hAnsi="Aptos"/>
                <w:b/>
                <w:color w:val="FFFFFF"/>
                <w:sz w:val="17"/>
              </w:rPr>
              <w:t>Component</w:t>
            </w:r>
          </w:p>
        </w:tc>
        <w:tc>
          <w:tcPr>
            <w:tcW w:type="dxa" w:w="2520"/>
            <w:tcMar>
              <w:top w:w="80" w:type="dxa"/>
              <w:start w:w="90" w:type="dxa"/>
              <w:bottom w:w="80" w:type="dxa"/>
              <w:end w:w="90" w:type="dxa"/>
            </w:tcMar>
            <w:vAlign w:val="center"/>
            <w:shd w:fill="1F4E79"/>
            <w:shd w:fill="1F4E79"/>
          </w:tcPr>
          <w:p>
            <w:pPr>
              <w:spacing w:after="20" w:before="0" w:line="240" w:lineRule="auto"/>
              <w:jc w:val="center"/>
            </w:pPr>
            <w:r>
              <w:rPr>
                <w:rFonts w:ascii="Aptos" w:hAnsi="Aptos"/>
                <w:b/>
                <w:color w:val="FFFFFF"/>
                <w:sz w:val="17"/>
              </w:rPr>
              <w:t>Primary recommendation</w:t>
            </w:r>
          </w:p>
        </w:tc>
        <w:tc>
          <w:tcPr>
            <w:tcW w:type="dxa" w:w="2520"/>
            <w:tcMar>
              <w:top w:w="80" w:type="dxa"/>
              <w:start w:w="90" w:type="dxa"/>
              <w:bottom w:w="80" w:type="dxa"/>
              <w:end w:w="90" w:type="dxa"/>
            </w:tcMar>
            <w:vAlign w:val="center"/>
            <w:shd w:fill="1F4E79"/>
            <w:shd w:fill="1F4E79"/>
          </w:tcPr>
          <w:p>
            <w:pPr>
              <w:spacing w:after="20" w:before="0" w:line="240" w:lineRule="auto"/>
              <w:jc w:val="center"/>
            </w:pPr>
            <w:r>
              <w:rPr>
                <w:rFonts w:ascii="Aptos" w:hAnsi="Aptos"/>
                <w:b/>
                <w:color w:val="FFFFFF"/>
                <w:sz w:val="17"/>
              </w:rPr>
              <w:t>Runner-up</w:t>
            </w:r>
          </w:p>
        </w:tc>
        <w:tc>
          <w:tcPr>
            <w:tcW w:type="dxa" w:w="2520"/>
            <w:tcMar>
              <w:top w:w="80" w:type="dxa"/>
              <w:start w:w="90" w:type="dxa"/>
              <w:bottom w:w="80" w:type="dxa"/>
              <w:end w:w="90" w:type="dxa"/>
            </w:tcMar>
            <w:vAlign w:val="center"/>
            <w:shd w:fill="1F4E79"/>
            <w:shd w:fill="1F4E79"/>
          </w:tcPr>
          <w:p>
            <w:pPr>
              <w:spacing w:after="20" w:before="0" w:line="240" w:lineRule="auto"/>
              <w:jc w:val="center"/>
            </w:pPr>
            <w:r>
              <w:rPr>
                <w:rFonts w:ascii="Aptos" w:hAnsi="Aptos"/>
                <w:b/>
                <w:color w:val="FFFFFF"/>
                <w:sz w:val="17"/>
              </w:rPr>
              <w:t>Reason for the ordering</w:t>
            </w:r>
          </w:p>
        </w:tc>
      </w:tr>
      <w:tr>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b/>
                <w:sz w:val="17"/>
              </w:rPr>
              <w:t>Input streaming and replay</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7"/>
              </w:rPr>
              <w:t>Miniaudio with one shared PCM stream contract</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7"/>
              </w:rPr>
              <w:t>Custom bounded ring buffer plus thin decoder/capture adapters</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7"/>
              </w:rPr>
              <w:t>Best balance of embedded fit, real-time I/O support, and the ability to replay WAV/FLAC through the same microphone-like path.</w:t>
            </w:r>
          </w:p>
        </w:tc>
      </w:tr>
      <w:tr>
        <w:tc>
          <w:tcPr>
            <w:tcW w:type="dxa" w:w="2520"/>
            <w:tcMar>
              <w:top w:w="80" w:type="dxa"/>
              <w:start w:w="90" w:type="dxa"/>
              <w:bottom w:w="80" w:type="dxa"/>
              <w:end w:w="90" w:type="dxa"/>
            </w:tcMar>
            <w:vAlign w:val="center"/>
          </w:tcPr>
          <w:p>
            <w:pPr>
              <w:spacing w:after="20" w:before="0" w:line="240" w:lineRule="auto"/>
              <w:jc w:val="left"/>
            </w:pPr>
            <w:r>
              <w:rPr>
                <w:rFonts w:ascii="Aptos" w:hAnsi="Aptos"/>
                <w:b/>
                <w:sz w:val="17"/>
              </w:rPr>
              <w:t>Audio front-end / denoising</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7"/>
              </w:rPr>
              <w:t>Pass-through baseline plus RNNoise toggle</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7"/>
              </w:rPr>
              <w:t>WebRTC Audio Processing Module</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7"/>
              </w:rPr>
              <w:t>RNNoise gives a simple, lightweight noise-suppression branch while preserving a clean baseline; WebRTC APM is stronger when echo/AGC style features matter.</w:t>
            </w:r>
          </w:p>
        </w:tc>
      </w:tr>
      <w:tr>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b/>
                <w:sz w:val="17"/>
              </w:rPr>
              <w:t>VAD</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7"/>
              </w:rPr>
              <w:t>Sherpa-ONNX VAD</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7"/>
              </w:rPr>
              <w:t>Silero VAD</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7"/>
              </w:rPr>
              <w:t>Sherpa aligns with the embedded streaming runtime family; Silero is nearly as strong and remains an excellent direct choice.</w:t>
            </w:r>
          </w:p>
        </w:tc>
      </w:tr>
      <w:tr>
        <w:tc>
          <w:tcPr>
            <w:tcW w:type="dxa" w:w="2520"/>
            <w:tcMar>
              <w:top w:w="80" w:type="dxa"/>
              <w:start w:w="90" w:type="dxa"/>
              <w:bottom w:w="80" w:type="dxa"/>
              <w:end w:w="90" w:type="dxa"/>
            </w:tcMar>
            <w:vAlign w:val="center"/>
          </w:tcPr>
          <w:p>
            <w:pPr>
              <w:spacing w:after="20" w:before="0" w:line="240" w:lineRule="auto"/>
              <w:jc w:val="left"/>
            </w:pPr>
            <w:r>
              <w:rPr>
                <w:rFonts w:ascii="Aptos" w:hAnsi="Aptos"/>
                <w:b/>
                <w:sz w:val="17"/>
              </w:rPr>
              <w:t>Streaming ASR</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7"/>
              </w:rPr>
              <w:t>Sherpa-ONNX streaming ASR</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7"/>
              </w:rPr>
              <w:t>Vosk with explicit Apache-licensed model selection</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7"/>
              </w:rPr>
              <w:t>Sherpa has the best combined streaming and embedded story; Vosk is the most practical smaller-footprint fallback.</w:t>
            </w:r>
          </w:p>
        </w:tc>
      </w:tr>
      <w:tr>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b/>
                <w:sz w:val="17"/>
              </w:rPr>
              <w:t>Speaker naming</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7"/>
              </w:rPr>
              <w:t>Sherpa-ONNX speaker verification or WeSpeaker</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7"/>
              </w:rPr>
              <w:t>SpeechBrain ECAPA</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7"/>
              </w:rPr>
              <w:t>Sherpa or WeSpeaker fit the deployment path better; SpeechBrain is still excellent for calibration and threshold experiments.</w:t>
            </w:r>
          </w:p>
        </w:tc>
      </w:tr>
      <w:tr>
        <w:tc>
          <w:tcPr>
            <w:tcW w:type="dxa" w:w="2520"/>
            <w:tcMar>
              <w:top w:w="80" w:type="dxa"/>
              <w:start w:w="90" w:type="dxa"/>
              <w:bottom w:w="80" w:type="dxa"/>
              <w:end w:w="90" w:type="dxa"/>
            </w:tcMar>
            <w:vAlign w:val="center"/>
          </w:tcPr>
          <w:p>
            <w:pPr>
              <w:spacing w:after="20" w:before="0" w:line="240" w:lineRule="auto"/>
              <w:jc w:val="left"/>
            </w:pPr>
            <w:r>
              <w:rPr>
                <w:rFonts w:ascii="Aptos" w:hAnsi="Aptos"/>
                <w:b/>
                <w:sz w:val="17"/>
              </w:rPr>
              <w:t>Segmentation strategy</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7"/>
              </w:rPr>
              <w:t>VAD plus speaker-change heuristics plus enrollment matching</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7"/>
              </w:rPr>
              <w:t>Sherpa-ONNX diarization</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7"/>
              </w:rPr>
              <w:t>You need segmentation, but you do not need full diarization to ship the first enrolled-speaker product.</w:t>
            </w:r>
          </w:p>
        </w:tc>
      </w:tr>
    </w:tbl>
    <w:p>
      <w:pPr>
        <w:pStyle w:val="SubsectionHeading"/>
      </w:pPr>
      <w:r>
        <w:t>10.2 Best baseline stack for your current decision frame</w:t>
      </w:r>
    </w:p>
    <w:p>
      <w:pPr>
        <w:pStyle w:val="BulletTight"/>
      </w:pPr>
      <w:r>
        <w:t>Input: miniaudio or an equivalent callback-based embedded I/O layer, with WAV and FLAC replay decoded into the same PCM stream path used by microphones.</w:t>
      </w:r>
    </w:p>
    <w:p>
      <w:pPr>
        <w:pStyle w:val="BulletTight"/>
      </w:pPr>
      <w:r>
        <w:t>Inter-stage transport: bounded single-producer/single-consumer ring buffers and small bounded work queues.</w:t>
      </w:r>
    </w:p>
    <w:p>
      <w:pPr>
        <w:pStyle w:val="BulletTight"/>
      </w:pPr>
      <w:r>
        <w:t>Front-end: pass-through by default, RNNoise as a run-start toggle, and channel-preserving plumbing so multi-microphone processing can be inserted without changing the rest of the stack.</w:t>
      </w:r>
    </w:p>
    <w:p>
      <w:pPr>
        <w:pStyle w:val="BulletTight"/>
      </w:pPr>
      <w:r>
        <w:t>VAD: Sherpa-ONNX VAD or Silero VAD.</w:t>
      </w:r>
    </w:p>
    <w:p>
      <w:pPr>
        <w:pStyle w:val="BulletTight"/>
      </w:pPr>
      <w:r>
        <w:t>ASR: Sherpa-ONNX streaming ASR as the main line; Vosk as the smallest practical fallback branch.</w:t>
      </w:r>
    </w:p>
    <w:p>
      <w:pPr>
        <w:pStyle w:val="BulletTight"/>
      </w:pPr>
      <w:r>
        <w:t>Speaker naming: start with SpeechBrain or WeSpeaker for threshold calibration, then converge on WeSpeaker or Sherpa speaker verification if the deployment path remains the priority.</w:t>
      </w:r>
    </w:p>
    <w:p>
      <w:pPr>
        <w:pStyle w:val="BulletTight"/>
      </w:pPr>
      <w:r>
        <w:t>Segmentation: VAD-driven chunks with speaker-change heuristics and delayed label confirmation; no full diarization in v1.</w:t>
      </w:r>
    </w:p>
    <w:p>
      <w:pPr/>
      <w:r>
        <w:t>This stack is not the absolute highest possible desktop-accuracy stack, but that is not your stated goal. Your goal is a pipeline that can survive the transition into an affordable embedded product without an architectural reset. On that criterion, this shortlist is materially stronger than a laptop-first stack that later has to be rewritten around another runtime.</w:t>
      </w:r>
    </w:p>
    <w:p>
      <w:pPr>
        <w:pStyle w:val="SubsectionHeading"/>
      </w:pPr>
      <w:r>
        <w:t>10.3 Smallest-footprint fallback stack</w:t>
      </w:r>
    </w:p>
    <w:p>
      <w:pPr>
        <w:pStyle w:val="BulletTight"/>
      </w:pPr>
      <w:r>
        <w:t>Input: miniaudio or PortAudio-level capture with a custom replay adapter.</w:t>
      </w:r>
    </w:p>
    <w:p>
      <w:pPr>
        <w:pStyle w:val="BulletTight"/>
      </w:pPr>
      <w:r>
        <w:t>Front-end: pass-through, optionally SpeexDSP before moving to heavier denoisers.</w:t>
      </w:r>
    </w:p>
    <w:p>
      <w:pPr>
        <w:pStyle w:val="BulletTight"/>
      </w:pPr>
      <w:r>
        <w:t>VAD: WebRTC VAD.</w:t>
      </w:r>
    </w:p>
    <w:p>
      <w:pPr>
        <w:pStyle w:val="BulletTight"/>
      </w:pPr>
      <w:r>
        <w:t>ASR: Vosk small model, but only after checking the exact model artifact license.</w:t>
      </w:r>
    </w:p>
    <w:p>
      <w:pPr>
        <w:pStyle w:val="BulletTight"/>
      </w:pPr>
      <w:r>
        <w:t>Speaker naming: Resemblyzer only as a lightweight exploratory branch, not as the main production path.</w:t>
      </w:r>
    </w:p>
    <w:p>
      <w:pPr>
        <w:pStyle w:val="BulletTight"/>
      </w:pPr>
      <w:r>
        <w:t>Segmentation: purely heuristic, with strict Unknown fallback.</w:t>
      </w:r>
    </w:p>
    <w:p>
      <w:pPr/>
      <w:r>
        <w:t>This smallest-footprint stack exists to answer one question: how much capability can be preserved when power and compute become the dominant constraint? It is useful as a boundary test, but it should not replace the mainline decision path unless the hardware budget forces it.</w:t>
      </w:r>
    </w:p>
    <w:p>
      <w:pPr>
        <w:pStyle w:val="SubsectionHeading"/>
      </w:pPr>
      <w:r>
        <w:t>10.4 What should be custom code versus library code</w:t>
      </w:r>
    </w:p>
    <w:p>
      <w:pPr>
        <w:pStyle w:val="BulletTight"/>
      </w:pPr>
      <w:r>
        <w:t>Good candidates for custom code: PCM replay adapters, bounded ring buffers, format framing, stage timing instrumentation, speaker-change heuristics, transcript assembly, and the run-start configuration toggle layer.</w:t>
      </w:r>
    </w:p>
    <w:p>
      <w:pPr>
        <w:pStyle w:val="BulletTight"/>
      </w:pPr>
      <w:r>
        <w:t>Poor candidates for custom code: the core ASR model, the core speaker embedding model, and the core VAD model unless there is a very specific research reason.</w:t>
      </w:r>
    </w:p>
    <w:p>
      <w:pPr>
        <w:pStyle w:val="BulletTight"/>
      </w:pPr>
      <w:r>
        <w:t>Middle ground: a custom multi-microphone beamforming or source-selection layer can be reasonable later, especially if you want a narrow, controllable design rather than a large general-purpose front-end stack.</w:t>
      </w:r>
    </w:p>
    <w:p>
      <w:pPr/>
      <w:r>
        <w:t>In other words, custom code is most useful at the orchestration edges, not as a replacement for mature speech models. That division of labor also reduces maintenance risk and makes licensing review easier because the custom layer remains small and auditable.</w:t>
      </w:r>
    </w:p>
    <w:p>
      <w:pPr>
        <w:pStyle w:val="SubsectionHeading"/>
      </w:pPr>
      <w:r>
        <w:t>10.5 Final conclusion</w:t>
      </w:r>
    </w:p>
    <w:p>
      <w:pPr/>
      <w:r>
        <w:t>For the specific product shape you described, the most defensible open-source direction is an embedded-first streaming stack built around one shared PCM stream contract, bounded ring buffers, optional front-end processing, Sherpa-ONNX or Silero for VAD, Sherpa-ONNX for streaming ASR, and a conservative speaker-naming stage built on WeSpeaker, Sherpa speaker verification, or SpeechBrain during calibration. The first version should segment aggressively enough to maintain timing and naming stability, but it should not absorb the complexity of full diarization until real product data proves that the lighter strategy is insufficient.</w:t>
      </w:r>
    </w:p>
    <w:p>
      <w:pPr>
        <w:pStyle w:val="SectionHeading"/>
      </w:pPr>
      <w:r>
        <w:t>11. Appendix: official project sources and public-use notes</w:t>
      </w:r>
    </w:p>
    <w:p>
      <w:pPr/>
      <w:r>
        <w:t>The review in this document was grounded in official project repositories, official documentation pages, and official model pages where available. Public product-use evidence is uneven across projects: some tools explicitly list downstream deployments, while others are clearly widely used but do not maintain an audited public product list.</w:t>
      </w:r>
    </w:p>
    <w:p>
      <w:pPr>
        <w:pStyle w:val="SubsectionHeading"/>
        <w:pageBreakBefore/>
      </w:pPr>
      <w:r>
        <w:t>11.1 Public-use and maturity notes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Mar>
              <w:top w:w="80" w:type="dxa"/>
              <w:start w:w="90" w:type="dxa"/>
              <w:bottom w:w="80" w:type="dxa"/>
              <w:end w:w="90" w:type="dxa"/>
            </w:tcMar>
            <w:vAlign w:val="center"/>
            <w:shd w:fill="1F4E79"/>
            <w:shd w:fill="1F4E79"/>
          </w:tcPr>
          <w:p>
            <w:pPr>
              <w:spacing w:after="20" w:before="0" w:line="240" w:lineRule="auto"/>
              <w:jc w:val="center"/>
            </w:pPr>
            <w:r>
              <w:rPr>
                <w:rFonts w:ascii="Aptos" w:hAnsi="Aptos"/>
                <w:b/>
                <w:color w:val="FFFFFF"/>
                <w:sz w:val="16"/>
              </w:rPr>
              <w:t>Project</w:t>
            </w:r>
          </w:p>
        </w:tc>
        <w:tc>
          <w:tcPr>
            <w:tcW w:type="dxa" w:w="2520"/>
            <w:tcMar>
              <w:top w:w="80" w:type="dxa"/>
              <w:start w:w="90" w:type="dxa"/>
              <w:bottom w:w="80" w:type="dxa"/>
              <w:end w:w="90" w:type="dxa"/>
            </w:tcMar>
            <w:vAlign w:val="center"/>
            <w:shd w:fill="1F4E79"/>
            <w:shd w:fill="1F4E79"/>
          </w:tcPr>
          <w:p>
            <w:pPr>
              <w:spacing w:after="20" w:before="0" w:line="240" w:lineRule="auto"/>
              <w:jc w:val="center"/>
            </w:pPr>
            <w:r>
              <w:rPr>
                <w:rFonts w:ascii="Aptos" w:hAnsi="Aptos"/>
                <w:b/>
                <w:color w:val="FFFFFF"/>
                <w:sz w:val="16"/>
              </w:rPr>
              <w:t>Public maturity signal seen in official sources</w:t>
            </w:r>
          </w:p>
        </w:tc>
        <w:tc>
          <w:tcPr>
            <w:tcW w:type="dxa" w:w="2520"/>
            <w:tcMar>
              <w:top w:w="80" w:type="dxa"/>
              <w:start w:w="90" w:type="dxa"/>
              <w:bottom w:w="80" w:type="dxa"/>
              <w:end w:w="90" w:type="dxa"/>
            </w:tcMar>
            <w:vAlign w:val="center"/>
            <w:shd w:fill="1F4E79"/>
            <w:shd w:fill="1F4E79"/>
          </w:tcPr>
          <w:p>
            <w:pPr>
              <w:spacing w:after="20" w:before="0" w:line="240" w:lineRule="auto"/>
              <w:jc w:val="center"/>
            </w:pPr>
            <w:r>
              <w:rPr>
                <w:rFonts w:ascii="Aptos" w:hAnsi="Aptos"/>
                <w:b/>
                <w:color w:val="FFFFFF"/>
                <w:sz w:val="16"/>
              </w:rPr>
              <w:t>Public product-use evidence explicitly seen</w:t>
            </w:r>
          </w:p>
        </w:tc>
        <w:tc>
          <w:tcPr>
            <w:tcW w:type="dxa" w:w="2520"/>
            <w:tcMar>
              <w:top w:w="80" w:type="dxa"/>
              <w:start w:w="90" w:type="dxa"/>
              <w:bottom w:w="80" w:type="dxa"/>
              <w:end w:w="90" w:type="dxa"/>
            </w:tcMar>
            <w:vAlign w:val="center"/>
            <w:shd w:fill="1F4E79"/>
            <w:shd w:fill="1F4E79"/>
          </w:tcPr>
          <w:p>
            <w:pPr>
              <w:spacing w:after="20" w:before="0" w:line="240" w:lineRule="auto"/>
              <w:jc w:val="center"/>
            </w:pPr>
            <w:r>
              <w:rPr>
                <w:rFonts w:ascii="Aptos" w:hAnsi="Aptos"/>
                <w:b/>
                <w:color w:val="FFFFFF"/>
                <w:sz w:val="16"/>
              </w:rPr>
              <w:t>Caution</w:t>
            </w:r>
          </w:p>
        </w:tc>
      </w:tr>
      <w:tr>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b/>
                <w:sz w:val="16"/>
              </w:rPr>
              <w:t>PortAudio</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6"/>
              </w:rPr>
              <w:t>Long-lived cross-platform audio I/O library with broad host API support</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6"/>
              </w:rPr>
              <w:t>Official site states many applications use it</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6"/>
              </w:rPr>
              <w:t>Great for desktop and lab tooling; less embedded-specific than miniaudio.</w:t>
            </w:r>
          </w:p>
        </w:tc>
      </w:tr>
      <w:tr>
        <w:tc>
          <w:tcPr>
            <w:tcW w:type="dxa" w:w="2520"/>
            <w:tcMar>
              <w:top w:w="80" w:type="dxa"/>
              <w:start w:w="90" w:type="dxa"/>
              <w:bottom w:w="80" w:type="dxa"/>
              <w:end w:w="90" w:type="dxa"/>
            </w:tcMar>
            <w:vAlign w:val="center"/>
          </w:tcPr>
          <w:p>
            <w:pPr>
              <w:spacing w:after="20" w:before="0" w:line="240" w:lineRule="auto"/>
              <w:jc w:val="left"/>
            </w:pPr>
            <w:r>
              <w:rPr>
                <w:rFonts w:ascii="Aptos" w:hAnsi="Aptos"/>
                <w:b/>
                <w:sz w:val="16"/>
              </w:rPr>
              <w:t>WebRTC Audio Processing</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6"/>
              </w:rPr>
              <w:t>Official Chromium documentation and long production history in calling stacks</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6"/>
              </w:rPr>
              <w:t>Yes, by role rather than branded product list</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6"/>
              </w:rPr>
              <w:t>Useful if echo, AGC, and conferencing style processing matter.</w:t>
            </w:r>
          </w:p>
        </w:tc>
      </w:tr>
      <w:tr>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b/>
                <w:sz w:val="16"/>
              </w:rPr>
              <w:t>Silero VAD</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6"/>
              </w:rPr>
              <w:t>Active practical deployment examples in official repo</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6"/>
              </w:rPr>
              <w:t>No audited product list seen in this review</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6"/>
              </w:rPr>
              <w:t>Strong direct option, but the official repo does not serve as a product registry.</w:t>
            </w:r>
          </w:p>
        </w:tc>
      </w:tr>
      <w:tr>
        <w:tc>
          <w:tcPr>
            <w:tcW w:type="dxa" w:w="2520"/>
            <w:tcMar>
              <w:top w:w="80" w:type="dxa"/>
              <w:start w:w="90" w:type="dxa"/>
              <w:bottom w:w="80" w:type="dxa"/>
              <w:end w:w="90" w:type="dxa"/>
            </w:tcMar>
            <w:vAlign w:val="center"/>
          </w:tcPr>
          <w:p>
            <w:pPr>
              <w:spacing w:after="20" w:before="0" w:line="240" w:lineRule="auto"/>
              <w:jc w:val="left"/>
            </w:pPr>
            <w:r>
              <w:rPr>
                <w:rFonts w:ascii="Aptos" w:hAnsi="Aptos"/>
                <w:b/>
                <w:sz w:val="16"/>
              </w:rPr>
              <w:t>Sherpa-ONNX</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6"/>
              </w:rPr>
              <w:t>Official repo and docs cover many platforms plus multiple speech tasks</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6"/>
              </w:rPr>
              <w:t>Repo includes a projects-using list</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6"/>
              </w:rPr>
              <w:t>Check exact model package and performance on your target hardware.</w:t>
            </w:r>
          </w:p>
        </w:tc>
      </w:tr>
      <w:tr>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b/>
                <w:sz w:val="16"/>
              </w:rPr>
              <w:t>Vosk</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6"/>
              </w:rPr>
              <w:t>Official repo positions it for offline products and embedded use</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6"/>
              </w:rPr>
              <w:t>Official repo cites chatbots, smart-home appliances, and virtual assistants</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6"/>
              </w:rPr>
              <w:t>Model license must be checked per artifact, not assumed from the code license.</w:t>
            </w:r>
          </w:p>
        </w:tc>
      </w:tr>
      <w:tr>
        <w:tc>
          <w:tcPr>
            <w:tcW w:type="dxa" w:w="2520"/>
            <w:tcMar>
              <w:top w:w="80" w:type="dxa"/>
              <w:start w:w="90" w:type="dxa"/>
              <w:bottom w:w="80" w:type="dxa"/>
              <w:end w:w="90" w:type="dxa"/>
            </w:tcMar>
            <w:vAlign w:val="center"/>
          </w:tcPr>
          <w:p>
            <w:pPr>
              <w:spacing w:after="20" w:before="0" w:line="240" w:lineRule="auto"/>
              <w:jc w:val="left"/>
            </w:pPr>
            <w:r>
              <w:rPr>
                <w:rFonts w:ascii="Aptos" w:hAnsi="Aptos"/>
                <w:b/>
                <w:sz w:val="16"/>
              </w:rPr>
              <w:t>WeNet</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6"/>
              </w:rPr>
              <w:t>Official docs present a production-first runtime story</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6"/>
              </w:rPr>
              <w:t>No short audited product list was relied on in this review</w:t>
            </w:r>
          </w:p>
        </w:tc>
        <w:tc>
          <w:tcPr>
            <w:tcW w:type="dxa" w:w="2520"/>
            <w:tcMar>
              <w:top w:w="80" w:type="dxa"/>
              <w:start w:w="90" w:type="dxa"/>
              <w:bottom w:w="80" w:type="dxa"/>
              <w:end w:w="90" w:type="dxa"/>
            </w:tcMar>
            <w:vAlign w:val="center"/>
          </w:tcPr>
          <w:p>
            <w:pPr>
              <w:spacing w:after="20" w:before="0" w:line="240" w:lineRule="auto"/>
              <w:jc w:val="left"/>
            </w:pPr>
            <w:r>
              <w:rPr>
                <w:rFonts w:ascii="Aptos" w:hAnsi="Aptos"/>
                <w:sz w:val="16"/>
              </w:rPr>
              <w:t>Deployment path is promising but should be validated more directly on your target platform.</w:t>
            </w:r>
          </w:p>
        </w:tc>
      </w:tr>
      <w:tr>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b/>
                <w:sz w:val="16"/>
              </w:rPr>
              <w:t>SpeechBrain / WeSpeaker / Resemblyzer</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6"/>
              </w:rPr>
              <w:t>Mature research-to-practical toolkits with public models</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6"/>
              </w:rPr>
              <w:t>No strong audited product list was relied on here</w:t>
            </w:r>
          </w:p>
        </w:tc>
        <w:tc>
          <w:tcPr>
            <w:tcW w:type="dxa" w:w="2520"/>
            <w:tcMar>
              <w:top w:w="80" w:type="dxa"/>
              <w:start w:w="90" w:type="dxa"/>
              <w:bottom w:w="80" w:type="dxa"/>
              <w:end w:w="90" w:type="dxa"/>
            </w:tcMar>
            <w:vAlign w:val="center"/>
            <w:shd w:fill="F7FAFC"/>
            <w:shd w:fill="F7FAFC"/>
          </w:tcPr>
          <w:p>
            <w:pPr>
              <w:spacing w:after="20" w:before="0" w:line="240" w:lineRule="auto"/>
              <w:jc w:val="left"/>
            </w:pPr>
            <w:r>
              <w:rPr>
                <w:rFonts w:ascii="Aptos" w:hAnsi="Aptos"/>
                <w:sz w:val="16"/>
              </w:rPr>
              <w:t>Treat them as strong technical options, but do not assume product redistribution clarity without checking the exact model artifact.</w:t>
            </w:r>
          </w:p>
        </w:tc>
      </w:tr>
    </w:tbl>
    <w:p>
      <w:pPr>
        <w:pStyle w:val="SubsectionHeading"/>
      </w:pPr>
      <w:r>
        <w:t>11.2 Official project pages used for verification</w:t>
      </w:r>
    </w:p>
    <w:p>
      <w:pPr>
        <w:pStyle w:val="BulletTight"/>
      </w:pPr>
      <w:r>
        <w:t>Miniaudio docs and project page: https://miniaud.io/docs/ and https://github.com/mackron/miniaudio</w:t>
      </w:r>
    </w:p>
    <w:p>
      <w:pPr>
        <w:pStyle w:val="BulletTight"/>
      </w:pPr>
      <w:r>
        <w:t>PortAudio official site and docs: http://www.portaudio.com/</w:t>
      </w:r>
    </w:p>
    <w:p>
      <w:pPr>
        <w:pStyle w:val="BulletTight"/>
      </w:pPr>
      <w:r>
        <w:t>RtAudio official repository: https://github.com/thestk/rtaudio</w:t>
      </w:r>
    </w:p>
    <w:p>
      <w:pPr>
        <w:pStyle w:val="BulletTight"/>
      </w:pPr>
      <w:r>
        <w:t>libsndfile and python-soundfile: https://libsndfile.github.io/libsndfile/ and https://python-soundfile.readthedocs.io/</w:t>
      </w:r>
    </w:p>
    <w:p>
      <w:pPr>
        <w:pStyle w:val="BulletTight"/>
      </w:pPr>
      <w:r>
        <w:t>RNNoise official repository: https://github.com/xiph/rnnoise</w:t>
      </w:r>
    </w:p>
    <w:p>
      <w:pPr>
        <w:pStyle w:val="BulletTight"/>
      </w:pPr>
      <w:r>
        <w:t>SpeexDSP official repository: https://github.com/xiph/speexdsp</w:t>
      </w:r>
    </w:p>
    <w:p>
      <w:pPr>
        <w:pStyle w:val="BulletTight"/>
      </w:pPr>
      <w:r>
        <w:t>Chromium WebRTC audio processing documentation and cross-platform wrapper repository</w:t>
      </w:r>
    </w:p>
    <w:p>
      <w:pPr>
        <w:pStyle w:val="BulletTight"/>
      </w:pPr>
      <w:r>
        <w:t>ODAS official repository: https://github.com/introlab/odas</w:t>
      </w:r>
    </w:p>
    <w:p>
      <w:pPr>
        <w:pStyle w:val="BulletTight"/>
      </w:pPr>
      <w:r>
        <w:t>Silero VAD official repository: https://github.com/snakers4/silero-vad</w:t>
      </w:r>
    </w:p>
    <w:p>
      <w:pPr>
        <w:pStyle w:val="BulletTight"/>
      </w:pPr>
      <w:r>
        <w:t>py-webrtcvad official repository and package page: https://github.com/wiseman/py-webrtcvad</w:t>
      </w:r>
    </w:p>
    <w:p>
      <w:pPr>
        <w:pStyle w:val="BulletTight"/>
      </w:pPr>
      <w:r>
        <w:t>Sherpa-ONNX official repository and docs: https://github.com/k2-fsa/sherpa-onnx and https://k2-fsa.github.io/sherpa/onnx/</w:t>
      </w:r>
    </w:p>
    <w:p>
      <w:pPr>
        <w:pStyle w:val="BulletTight"/>
      </w:pPr>
      <w:r>
        <w:t>Vosk official repository and official model page: https://github.com/alphacep/vosk-api and https://alphacephei.com/vosk/models</w:t>
      </w:r>
    </w:p>
    <w:p>
      <w:pPr>
        <w:pStyle w:val="BulletTight"/>
      </w:pPr>
      <w:r>
        <w:t>WeNet official repository and documentation: https://github.com/wenet-e2e/wenet and https://wenet.org.cn/</w:t>
      </w:r>
    </w:p>
    <w:p>
      <w:pPr>
        <w:pStyle w:val="BulletTight"/>
      </w:pPr>
      <w:r>
        <w:t>SpeechBrain official repository and official model pages: https://github.com/speechbrain/speechbrain</w:t>
      </w:r>
    </w:p>
    <w:p>
      <w:pPr>
        <w:pStyle w:val="BulletTight"/>
      </w:pPr>
      <w:r>
        <w:t>WeSpeaker official repository and official model pages: https://github.com/wenet-e2e/wespeaker</w:t>
      </w:r>
    </w:p>
    <w:p>
      <w:pPr>
        <w:pStyle w:val="BulletTight"/>
      </w:pPr>
      <w:r>
        <w:t>Resemblyzer official repository: https://github.com/resemble-ai/Resemblyzer</w:t>
      </w:r>
    </w:p>
    <w:p>
      <w:pPr>
        <w:pStyle w:val="SmallNote"/>
      </w:pPr>
      <w:r>
        <w:t>A final process note: code license and model license should always be reviewed separately before a product decision is made. That is especially important for Vosk models and for WeSpeaker model artifacts hosted on third-party model hubs, where the artifact license can differ from the toolkit license.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basedOn w:val="Title"/>
    <w:pPr>
      <w:spacing w:after="120"/>
    </w:pPr>
    <w:rPr>
      <w:rFonts w:ascii="Aptos Display" w:hAnsi="Aptos Display"/>
      <w:b/>
      <w:color w:val="0F2A43"/>
      <w:sz w:val="48"/>
    </w:rPr>
  </w:style>
  <w:style w:type="paragraph" w:customStyle="1" w:styleId="ReportSubtitle">
    <w:name w:val="Report Subtitle"/>
    <w:basedOn w:val="Subtitle"/>
    <w:pPr>
      <w:spacing w:after="80"/>
    </w:pPr>
    <w:rPr>
      <w:rFonts w:ascii="Aptos" w:hAnsi="Aptos"/>
      <w:i w:val="0"/>
      <w:color w:val="536377"/>
      <w:sz w:val="23"/>
    </w:rPr>
  </w:style>
  <w:style w:type="paragraph" w:customStyle="1" w:styleId="SectionHeading">
    <w:name w:val="Section Heading"/>
    <w:basedOn w:val="Heading1"/>
    <w:pPr>
      <w:keepNext/>
      <w:spacing w:before="280" w:after="80"/>
    </w:pPr>
    <w:rPr>
      <w:rFonts w:ascii="Aptos Display" w:hAnsi="Aptos Display"/>
      <w:b/>
      <w:color w:val="103B63"/>
      <w:sz w:val="31"/>
    </w:rPr>
  </w:style>
  <w:style w:type="paragraph" w:customStyle="1" w:styleId="SubsectionHeading">
    <w:name w:val="Subsection Heading"/>
    <w:basedOn w:val="Heading2"/>
    <w:pPr>
      <w:keepNext/>
      <w:spacing w:before="200" w:after="60"/>
    </w:pPr>
    <w:rPr>
      <w:rFonts w:ascii="Aptos Display" w:hAnsi="Aptos Display"/>
      <w:b/>
      <w:color w:val="184E77"/>
      <w:sz w:val="25"/>
    </w:rPr>
  </w:style>
  <w:style w:type="paragraph" w:customStyle="1" w:styleId="ToolHeading">
    <w:name w:val="Tool Heading"/>
    <w:basedOn w:val="Heading3"/>
    <w:pPr>
      <w:keepNext/>
      <w:spacing w:before="160" w:after="40"/>
    </w:pPr>
    <w:rPr>
      <w:rFonts w:ascii="Aptos" w:hAnsi="Aptos"/>
      <w:b/>
      <w:color w:val="1E3D59"/>
      <w:sz w:val="23"/>
    </w:rPr>
  </w:style>
  <w:style w:type="paragraph" w:customStyle="1" w:styleId="SmallNote">
    <w:name w:val="Small Note"/>
    <w:basedOn w:val="Normal"/>
    <w:pPr>
      <w:spacing w:after="60" w:line="252" w:lineRule="auto"/>
    </w:pPr>
    <w:rPr>
      <w:rFonts w:ascii="Aptos" w:hAnsi="Aptos"/>
      <w:color w:val="5E6B7A"/>
      <w:sz w:val="17"/>
    </w:rPr>
  </w:style>
  <w:style w:type="paragraph" w:customStyle="1" w:styleId="BulletTight">
    <w:name w:val="Bullet Tight"/>
    <w:basedOn w:val="ListBullet"/>
    <w:pPr>
      <w:spacing w:after="40" w:line="259" w:lineRule="auto"/>
    </w:pPr>
    <w:rPr>
      <w:rFonts w:ascii="Aptos" w:hAnsi="Aptos"/>
      <w:sz w:val="20"/>
    </w:rPr>
  </w:style>
  <w:style w:type="character" w:customStyle="1" w:styleId="TableText">
    <w:name w:val="Table Text"/>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