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Evaluation Tool</w:t>
        <w:br/>
        <w:t>Overall User Guide</w:t>
      </w:r>
    </w:p>
    <w:p>
      <w:pPr>
        <w:jc w:val="center"/>
      </w:pPr>
      <w:r>
        <w:rPr>
          <w:i/>
        </w:rPr>
        <w:t>How to launch, configure, run, and connect the tool to an external speech pipeline</w:t>
      </w:r>
    </w:p>
    <w:p>
      <w:pPr>
        <w:jc w:val="center"/>
      </w:pPr>
      <w:r>
        <w:rPr>
          <w:b/>
        </w:rPr>
        <w:t>Project: Software Validation from Datasets</w:t>
      </w:r>
    </w:p>
    <w:tbl>
      <w:tblPr>
        <w:tblW w:type="auto" w:w="0"/>
        <w:jc w:val="center"/>
        <w:tblLook w:firstColumn="1" w:firstRow="1" w:lastColumn="0" w:lastRow="0" w:noHBand="0" w:noVBand="1" w:val="04A0"/>
      </w:tblPr>
      <w:tblGrid>
        <w:gridCol w:w="9936"/>
      </w:tblGrid>
      <w:tr>
        <w:tc>
          <w:tcPr>
            <w:tcW w:type="dxa" w:w="9936"/>
            <w:shd w:fill="EAF2F8"/>
            <w:vAlign w:val="center"/>
          </w:tcPr>
          <w:p>
            <w:pPr>
              <w:spacing w:after="0"/>
            </w:pPr>
            <w:r/>
            <w:r>
              <w:rPr>
                <w:b w:val="0"/>
                <w:sz w:val="19"/>
              </w:rPr>
              <w:t>This guide focuses on the tool as a whole: how to start it, what the GUI and CLI do, how runs are organized, how to interpret the main options, and how another engineer should connect the external inference pipeline. Dataset descriptions are intentionally short and practical.</w:t>
            </w:r>
          </w:p>
        </w:tc>
      </w:tr>
    </w:tbl>
    <w:p/>
    <w:p>
      <w:pPr>
        <w:pStyle w:val="Heading1"/>
      </w:pPr>
      <w:r>
        <w:t>Quick Start</w:t>
      </w:r>
    </w:p>
    <w:p>
      <w:pPr>
        <w:pStyle w:val="ListNumber"/>
      </w:pPr>
      <w:r>
        <w:t>Open Anaconda Prompt.</w:t>
      </w:r>
    </w:p>
    <w:p>
      <w:pPr>
        <w:pStyle w:val="ListNumber"/>
      </w:pPr>
      <w:r>
        <w:t>Activate the environment used for the tool, for example: conda activate speech_eval.</w:t>
      </w:r>
    </w:p>
    <w:p>
      <w:pPr>
        <w:pStyle w:val="ListNumber"/>
      </w:pPr>
      <w:r>
        <w:t>Change into C:\Users\amiri\Documents\GitHub\just-peachy\Software Validation from Datasets\Evaluation Tool.</w:t>
      </w:r>
    </w:p>
    <w:p>
      <w:pPr>
        <w:pStyle w:val="ListNumber"/>
      </w:pPr>
      <w:r>
        <w:t>Install requirements if needed with pip install -r requirements.txt.</w:t>
      </w:r>
    </w:p>
    <w:p>
      <w:pPr>
        <w:pStyle w:val="ListNumber"/>
      </w:pPr>
      <w:r>
        <w:t>Run python run_evaluation.py list-datasets to confirm the registry loads.</w:t>
      </w:r>
    </w:p>
    <w:p>
      <w:pPr>
        <w:pStyle w:val="ListNumber"/>
      </w:pPr>
      <w:r>
        <w:t>Run python run_evaluation.py gui to launch the graphical interface.</w:t>
      </w:r>
    </w:p>
    <w:p>
      <w:pPr>
        <w:pStyle w:val="ListNumber"/>
      </w:pPr>
      <w:r>
        <w:t>For your first smoke test, choose one small dataset selection, set simulation mode to perfect, and set the command to full.</w:t>
      </w:r>
    </w:p>
    <w:p>
      <w:pPr>
        <w:pStyle w:val="Heading2"/>
      </w:pPr>
      <w:r>
        <w:t>Project structure</w:t>
      </w:r>
    </w:p>
    <w:tbl>
      <w:tblPr>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pPr>
            <w:r/>
            <w:r>
              <w:rPr>
                <w:b/>
                <w:color w:val="1F4E79"/>
                <w:sz w:val="19"/>
              </w:rPr>
              <w:t>Folder</w:t>
            </w:r>
          </w:p>
        </w:tc>
        <w:tc>
          <w:tcPr>
            <w:tcW w:type="dxa" w:w="4968"/>
            <w:shd w:fill="D9EAF7"/>
            <w:vAlign w:val="center"/>
          </w:tcPr>
          <w:p>
            <w:pPr>
              <w:spacing w:after="0"/>
            </w:pPr>
            <w:r/>
            <w:r>
              <w:rPr>
                <w:b/>
                <w:color w:val="1F4E79"/>
                <w:sz w:val="19"/>
              </w:rPr>
              <w:t>Purpose</w:t>
            </w:r>
          </w:p>
        </w:tc>
      </w:tr>
      <w:tr>
        <w:tc>
          <w:tcPr>
            <w:tcW w:type="dxa" w:w="4968"/>
            <w:vAlign w:val="center"/>
          </w:tcPr>
          <w:p>
            <w:pPr>
              <w:spacing w:after="0"/>
            </w:pPr>
            <w:r/>
            <w:r>
              <w:rPr>
                <w:b/>
                <w:sz w:val="19"/>
              </w:rPr>
              <w:t>Raw Datasets (Not formatted)/</w:t>
            </w:r>
          </w:p>
        </w:tc>
        <w:tc>
          <w:tcPr>
            <w:tcW w:type="dxa" w:w="4968"/>
            <w:vAlign w:val="center"/>
          </w:tcPr>
          <w:p>
            <w:pPr>
              <w:spacing w:after="0"/>
            </w:pPr>
            <w:r/>
            <w:r>
              <w:rPr>
                <w:b w:val="0"/>
                <w:sz w:val="19"/>
              </w:rPr>
              <w:t>Original source datasets. The tool does not modify these.</w:t>
            </w:r>
          </w:p>
        </w:tc>
      </w:tr>
      <w:tr>
        <w:tc>
          <w:tcPr>
            <w:tcW w:type="dxa" w:w="4968"/>
            <w:vAlign w:val="center"/>
          </w:tcPr>
          <w:p>
            <w:pPr>
              <w:spacing w:after="0"/>
            </w:pPr>
            <w:r/>
            <w:r>
              <w:rPr>
                <w:b/>
                <w:sz w:val="19"/>
              </w:rPr>
              <w:t>Adapter/</w:t>
            </w:r>
          </w:p>
        </w:tc>
        <w:tc>
          <w:tcPr>
            <w:tcW w:type="dxa" w:w="4968"/>
            <w:vAlign w:val="center"/>
          </w:tcPr>
          <w:p>
            <w:pPr>
              <w:spacing w:after="0"/>
            </w:pPr>
            <w:r/>
            <w:r>
              <w:rPr>
                <w:b w:val="0"/>
                <w:sz w:val="19"/>
              </w:rPr>
              <w:t>Normalization scaffolds, schemas, README templates, and output contract notes.</w:t>
            </w:r>
          </w:p>
        </w:tc>
      </w:tr>
      <w:tr>
        <w:tc>
          <w:tcPr>
            <w:tcW w:type="dxa" w:w="4968"/>
            <w:vAlign w:val="center"/>
          </w:tcPr>
          <w:p>
            <w:pPr>
              <w:spacing w:after="0"/>
            </w:pPr>
            <w:r/>
            <w:r>
              <w:rPr>
                <w:b/>
                <w:sz w:val="19"/>
              </w:rPr>
              <w:t>Normalized Metadata/</w:t>
            </w:r>
          </w:p>
        </w:tc>
        <w:tc>
          <w:tcPr>
            <w:tcW w:type="dxa" w:w="4968"/>
            <w:vAlign w:val="center"/>
          </w:tcPr>
          <w:p>
            <w:pPr>
              <w:spacing w:after="0"/>
            </w:pPr>
            <w:r/>
            <w:r>
              <w:rPr>
                <w:b w:val="0"/>
                <w:sz w:val="19"/>
              </w:rPr>
              <w:t>Parquet metadata and normalized READMEs used by the Evaluation Tool.</w:t>
            </w:r>
          </w:p>
        </w:tc>
      </w:tr>
      <w:tr>
        <w:tc>
          <w:tcPr>
            <w:tcW w:type="dxa" w:w="4968"/>
            <w:vAlign w:val="center"/>
          </w:tcPr>
          <w:p>
            <w:pPr>
              <w:spacing w:after="0"/>
            </w:pPr>
            <w:r/>
            <w:r>
              <w:rPr>
                <w:b/>
                <w:sz w:val="19"/>
              </w:rPr>
              <w:t>Evaluation Tool/</w:t>
            </w:r>
          </w:p>
        </w:tc>
        <w:tc>
          <w:tcPr>
            <w:tcW w:type="dxa" w:w="4968"/>
            <w:vAlign w:val="center"/>
          </w:tcPr>
          <w:p>
            <w:pPr>
              <w:spacing w:after="0"/>
            </w:pPr>
            <w:r/>
            <w:r>
              <w:rPr>
                <w:b w:val="0"/>
                <w:sz w:val="19"/>
              </w:rPr>
              <w:t>GUI, CLI, runner interface, augmentation, scoring, plotting, and reporting code.</w:t>
            </w:r>
          </w:p>
        </w:tc>
      </w:tr>
      <w:tr>
        <w:tc>
          <w:tcPr>
            <w:tcW w:type="dxa" w:w="4968"/>
            <w:vAlign w:val="center"/>
          </w:tcPr>
          <w:p>
            <w:pPr>
              <w:spacing w:after="0"/>
            </w:pPr>
            <w:r/>
            <w:r>
              <w:rPr>
                <w:b/>
                <w:sz w:val="19"/>
              </w:rPr>
              <w:t>Evaluation Tool/runs/</w:t>
            </w:r>
          </w:p>
        </w:tc>
        <w:tc>
          <w:tcPr>
            <w:tcW w:type="dxa" w:w="4968"/>
            <w:vAlign w:val="center"/>
          </w:tcPr>
          <w:p>
            <w:pPr>
              <w:spacing w:after="0"/>
            </w:pPr>
            <w:r/>
            <w:r>
              <w:rPr>
                <w:b w:val="0"/>
                <w:sz w:val="19"/>
              </w:rPr>
              <w:t>Saved outputs from each run, including predictions, metrics, plots, reports, logs, and previews.</w:t>
            </w:r>
          </w:p>
        </w:tc>
      </w:tr>
    </w:tbl>
    <w:p>
      <w:pPr>
        <w:pStyle w:val="Heading1"/>
      </w:pPr>
      <w:r>
        <w:t>How the tool works</w:t>
      </w:r>
    </w:p>
    <w:p>
      <w:pPr>
        <w:pStyle w:val="ListBullet"/>
      </w:pPr>
      <w:r>
        <w:t>The loader reads normalized metadata for the selected dataset and optional filters.</w:t>
      </w:r>
    </w:p>
    <w:p>
      <w:pPr>
        <w:pStyle w:val="ListBullet"/>
      </w:pPr>
      <w:r>
        <w:t>The tool expands the selection into evaluation items. For clean single-speaker datasets, this may include augmentation conditions such as reverb or noise.</w:t>
      </w:r>
    </w:p>
    <w:p>
      <w:pPr>
        <w:pStyle w:val="ListBullet"/>
      </w:pPr>
      <w:r>
        <w:t>Each evaluation item is sent to either the built-in simulation runner or the external inference hook.</w:t>
      </w:r>
    </w:p>
    <w:p>
      <w:pPr>
        <w:pStyle w:val="ListBullet"/>
      </w:pPr>
      <w:r>
        <w:t>Predictions are written using a standard contract, primarily predictions/utterances.jsonl.</w:t>
      </w:r>
    </w:p>
    <w:p>
      <w:pPr>
        <w:pStyle w:val="ListBullet"/>
      </w:pPr>
      <w:r>
        <w:t>The scorer compares predictions against normalized reference text and optional speaker labels.</w:t>
      </w:r>
    </w:p>
    <w:p>
      <w:pPr>
        <w:pStyle w:val="ListBullet"/>
      </w:pPr>
      <w:r>
        <w:t>The tool writes aggregate metrics, per-recording metrics, grouped summaries, plots, logs, reports, and preview audio when requested.</w:t>
      </w:r>
    </w:p>
    <w:p>
      <w:pPr>
        <w:pStyle w:val="Heading2"/>
      </w:pPr>
      <w:r>
        <w:t>Plain-language view vs technical view</w:t>
      </w:r>
    </w:p>
    <w:tbl>
      <w:tblPr>
        <w:tblW w:type="auto" w:w="0"/>
        <w:jc w:val="center"/>
        <w:tblLook w:firstColumn="1" w:firstRow="1" w:lastColumn="0" w:lastRow="0" w:noHBand="0" w:noVBand="1" w:val="04A0"/>
      </w:tblPr>
      <w:tblGrid>
        <w:gridCol w:w="4968"/>
        <w:gridCol w:w="4968"/>
      </w:tblGrid>
      <w:tr>
        <w:tc>
          <w:tcPr>
            <w:tcW w:type="dxa" w:w="4968"/>
            <w:shd w:fill="F2F2F2"/>
            <w:vAlign w:val="center"/>
          </w:tcPr>
          <w:p>
            <w:pPr>
              <w:spacing w:after="0"/>
            </w:pPr>
            <w:r/>
            <w:r>
              <w:rPr>
                <w:b/>
                <w:sz w:val="19"/>
              </w:rPr>
              <w:t>Plain-language</w:t>
            </w:r>
          </w:p>
        </w:tc>
        <w:tc>
          <w:tcPr>
            <w:tcW w:type="dxa" w:w="4968"/>
            <w:shd w:fill="F2F2F2"/>
            <w:vAlign w:val="center"/>
          </w:tcPr>
          <w:p>
            <w:pPr>
              <w:spacing w:after="0"/>
            </w:pPr>
            <w:r/>
            <w:r>
              <w:rPr>
                <w:b/>
                <w:sz w:val="19"/>
              </w:rPr>
              <w:t>Technical</w:t>
            </w:r>
          </w:p>
        </w:tc>
      </w:tr>
      <w:tr>
        <w:tc>
          <w:tcPr>
            <w:tcW w:type="dxa" w:w="4968"/>
            <w:vAlign w:val="center"/>
          </w:tcPr>
          <w:p>
            <w:pPr>
              <w:spacing w:after="0"/>
            </w:pPr>
            <w:r/>
            <w:r>
              <w:rPr>
                <w:b w:val="0"/>
                <w:sz w:val="19"/>
              </w:rPr>
              <w:t>Pick a dataset, optionally narrow it, optionally add room or noise effects for the clean datasets, run a model, and compare its transcript to the expected answer.</w:t>
            </w:r>
          </w:p>
        </w:tc>
        <w:tc>
          <w:tcPr>
            <w:tcW w:type="dxa" w:w="4968"/>
            <w:vAlign w:val="center"/>
          </w:tcPr>
          <w:p>
            <w:pPr>
              <w:spacing w:after="0"/>
            </w:pPr>
            <w:r/>
            <w:r>
              <w:rPr>
                <w:b w:val="0"/>
                <w:sz w:val="19"/>
              </w:rPr>
              <w:t>The tool reads normalized parquet metadata, resolves audio paths, optionally creates temporary augmented inference audio, collects utterance predictions, computes WER-style metrics and grouped summaries, and saves a structured run folder.</w:t>
            </w:r>
          </w:p>
        </w:tc>
      </w:tr>
    </w:tbl>
    <w:p>
      <w:pPr>
        <w:pStyle w:val="Heading1"/>
      </w:pPr>
      <w:r>
        <w:t>Using the GUI</w:t>
      </w:r>
    </w:p>
    <w:p>
      <w:pPr>
        <w:pStyle w:val="Small"/>
        <w:ind w:left="360"/>
      </w:pPr>
      <w:r>
        <w:rPr>
          <w:rFonts w:ascii="Consolas" w:hAnsi="Consolas"/>
        </w:rPr>
        <w:t>conda activate speech_eval</w:t>
      </w:r>
    </w:p>
    <w:p>
      <w:pPr>
        <w:pStyle w:val="Small"/>
        <w:ind w:left="360"/>
      </w:pPr>
      <w:r>
        <w:rPr>
          <w:rFonts w:ascii="Consolas" w:hAnsi="Consolas"/>
        </w:rPr>
        <w:t>cd "C:\Users\amiri\Documents\GitHub\just-peachy\Software Validation from Datasets\Evaluation Tool"</w:t>
      </w:r>
    </w:p>
    <w:p>
      <w:pPr>
        <w:pStyle w:val="Small"/>
        <w:ind w:left="360"/>
      </w:pPr>
      <w:r>
        <w:rPr>
          <w:rFonts w:ascii="Consolas" w:hAnsi="Consolas"/>
        </w:rPr>
        <w:t>python run_evaluation.py gui</w:t>
      </w:r>
    </w:p>
    <w:p>
      <w:pPr>
        <w:pStyle w:val="Heading2"/>
      </w:pPr>
      <w:r>
        <w:t>Main GUI areas</w:t>
      </w:r>
    </w:p>
    <w:tbl>
      <w:tblPr>
        <w:tblW w:type="auto" w:w="0"/>
        <w:jc w:val="center"/>
        <w:tblLook w:firstColumn="1" w:firstRow="1" w:lastColumn="0" w:lastRow="0" w:noHBand="0" w:noVBand="1" w:val="04A0"/>
      </w:tblPr>
      <w:tblGrid>
        <w:gridCol w:w="3312"/>
        <w:gridCol w:w="3312"/>
        <w:gridCol w:w="3312"/>
      </w:tblGrid>
      <w:tr>
        <w:tc>
          <w:tcPr>
            <w:tcW w:type="dxa" w:w="3312"/>
            <w:shd w:fill="D9EAF7"/>
            <w:vAlign w:val="center"/>
          </w:tcPr>
          <w:p>
            <w:pPr>
              <w:spacing w:after="0"/>
            </w:pPr>
            <w:r/>
            <w:r>
              <w:rPr>
                <w:b/>
                <w:color w:val="1F4E79"/>
                <w:sz w:val="19"/>
              </w:rPr>
              <w:t>Area</w:t>
            </w:r>
          </w:p>
        </w:tc>
        <w:tc>
          <w:tcPr>
            <w:tcW w:type="dxa" w:w="3312"/>
            <w:shd w:fill="D9EAF7"/>
            <w:vAlign w:val="center"/>
          </w:tcPr>
          <w:p>
            <w:pPr>
              <w:spacing w:after="0"/>
            </w:pPr>
            <w:r/>
            <w:r>
              <w:rPr>
                <w:b/>
                <w:color w:val="1F4E79"/>
                <w:sz w:val="19"/>
              </w:rPr>
              <w:t>What you choose</w:t>
            </w:r>
          </w:p>
        </w:tc>
        <w:tc>
          <w:tcPr>
            <w:tcW w:type="dxa" w:w="3312"/>
            <w:shd w:fill="D9EAF7"/>
            <w:vAlign w:val="center"/>
          </w:tcPr>
          <w:p>
            <w:pPr>
              <w:spacing w:after="0"/>
            </w:pPr>
            <w:r/>
            <w:r>
              <w:rPr>
                <w:b/>
                <w:color w:val="1F4E79"/>
                <w:sz w:val="19"/>
              </w:rPr>
              <w:t>Why it matters</w:t>
            </w:r>
          </w:p>
        </w:tc>
      </w:tr>
      <w:tr>
        <w:tc>
          <w:tcPr>
            <w:tcW w:type="dxa" w:w="3312"/>
            <w:vAlign w:val="center"/>
          </w:tcPr>
          <w:p>
            <w:pPr>
              <w:spacing w:after="0"/>
            </w:pPr>
            <w:r/>
            <w:r>
              <w:rPr>
                <w:b/>
                <w:sz w:val="19"/>
              </w:rPr>
              <w:t>Datasets</w:t>
            </w:r>
          </w:p>
        </w:tc>
        <w:tc>
          <w:tcPr>
            <w:tcW w:type="dxa" w:w="3312"/>
            <w:vAlign w:val="center"/>
          </w:tcPr>
          <w:p>
            <w:pPr>
              <w:spacing w:after="0"/>
            </w:pPr>
            <w:r/>
            <w:r>
              <w:rPr>
                <w:b w:val="0"/>
                <w:sz w:val="19"/>
              </w:rPr>
              <w:t>One or more datasets</w:t>
            </w:r>
          </w:p>
        </w:tc>
        <w:tc>
          <w:tcPr>
            <w:tcW w:type="dxa" w:w="3312"/>
            <w:vAlign w:val="center"/>
          </w:tcPr>
          <w:p>
            <w:pPr>
              <w:spacing w:after="0"/>
            </w:pPr>
            <w:r/>
            <w:r>
              <w:rPr>
                <w:b w:val="0"/>
                <w:sz w:val="19"/>
              </w:rPr>
              <w:t>Controls what metadata and filters are loaded.</w:t>
            </w:r>
          </w:p>
        </w:tc>
      </w:tr>
      <w:tr>
        <w:tc>
          <w:tcPr>
            <w:tcW w:type="dxa" w:w="3312"/>
            <w:vAlign w:val="center"/>
          </w:tcPr>
          <w:p>
            <w:pPr>
              <w:spacing w:after="0"/>
            </w:pPr>
            <w:r/>
            <w:r>
              <w:rPr>
                <w:b/>
                <w:sz w:val="19"/>
              </w:rPr>
              <w:t>Subset Filters</w:t>
            </w:r>
          </w:p>
        </w:tc>
        <w:tc>
          <w:tcPr>
            <w:tcW w:type="dxa" w:w="3312"/>
            <w:vAlign w:val="center"/>
          </w:tcPr>
          <w:p>
            <w:pPr>
              <w:spacing w:after="0"/>
            </w:pPr>
            <w:r/>
            <w:r>
              <w:rPr>
                <w:b w:val="0"/>
                <w:sz w:val="19"/>
              </w:rPr>
              <w:t>Values such as split, gender, session, room, or stream type</w:t>
            </w:r>
          </w:p>
        </w:tc>
        <w:tc>
          <w:tcPr>
            <w:tcW w:type="dxa" w:w="3312"/>
            <w:vAlign w:val="center"/>
          </w:tcPr>
          <w:p>
            <w:pPr>
              <w:spacing w:after="0"/>
            </w:pPr>
            <w:r/>
            <w:r>
              <w:rPr>
                <w:b w:val="0"/>
                <w:sz w:val="19"/>
              </w:rPr>
              <w:t>Lets you run a focused slice instead of an entire dataset.</w:t>
            </w:r>
          </w:p>
        </w:tc>
      </w:tr>
      <w:tr>
        <w:tc>
          <w:tcPr>
            <w:tcW w:type="dxa" w:w="3312"/>
            <w:vAlign w:val="center"/>
          </w:tcPr>
          <w:p>
            <w:pPr>
              <w:spacing w:after="0"/>
            </w:pPr>
            <w:r/>
            <w:r>
              <w:rPr>
                <w:b/>
                <w:sz w:val="19"/>
              </w:rPr>
              <w:t>Runner</w:t>
            </w:r>
          </w:p>
        </w:tc>
        <w:tc>
          <w:tcPr>
            <w:tcW w:type="dxa" w:w="3312"/>
            <w:vAlign w:val="center"/>
          </w:tcPr>
          <w:p>
            <w:pPr>
              <w:spacing w:after="0"/>
            </w:pPr>
            <w:r/>
            <w:r>
              <w:rPr>
                <w:b w:val="0"/>
                <w:sz w:val="19"/>
              </w:rPr>
              <w:t>Simulation or external runner</w:t>
            </w:r>
          </w:p>
        </w:tc>
        <w:tc>
          <w:tcPr>
            <w:tcW w:type="dxa" w:w="3312"/>
            <w:vAlign w:val="center"/>
          </w:tcPr>
          <w:p>
            <w:pPr>
              <w:spacing w:after="0"/>
            </w:pPr>
            <w:r/>
            <w:r>
              <w:rPr>
                <w:b w:val="0"/>
                <w:sz w:val="19"/>
              </w:rPr>
              <w:t>Determines whether the tool generates fake predictions or calls the external inference hook.</w:t>
            </w:r>
          </w:p>
        </w:tc>
      </w:tr>
      <w:tr>
        <w:tc>
          <w:tcPr>
            <w:tcW w:type="dxa" w:w="3312"/>
            <w:vAlign w:val="center"/>
          </w:tcPr>
          <w:p>
            <w:pPr>
              <w:spacing w:after="0"/>
            </w:pPr>
            <w:r/>
            <w:r>
              <w:rPr>
                <w:b/>
                <w:sz w:val="19"/>
              </w:rPr>
              <w:t>Augmentation</w:t>
            </w:r>
          </w:p>
        </w:tc>
        <w:tc>
          <w:tcPr>
            <w:tcW w:type="dxa" w:w="3312"/>
            <w:vAlign w:val="center"/>
          </w:tcPr>
          <w:p>
            <w:pPr>
              <w:spacing w:after="0"/>
            </w:pPr>
            <w:r/>
            <w:r>
              <w:rPr>
                <w:b w:val="0"/>
                <w:sz w:val="19"/>
              </w:rPr>
              <w:t>Reverb, noise, or both for supported clean datasets only</w:t>
            </w:r>
          </w:p>
        </w:tc>
        <w:tc>
          <w:tcPr>
            <w:tcW w:type="dxa" w:w="3312"/>
            <w:vAlign w:val="center"/>
          </w:tcPr>
          <w:p>
            <w:pPr>
              <w:spacing w:after="0"/>
            </w:pPr>
            <w:r/>
            <w:r>
              <w:rPr>
                <w:b w:val="0"/>
                <w:sz w:val="19"/>
              </w:rPr>
              <w:t>Creates temporary augmented audio before inference.</w:t>
            </w:r>
          </w:p>
        </w:tc>
      </w:tr>
      <w:tr>
        <w:tc>
          <w:tcPr>
            <w:tcW w:type="dxa" w:w="3312"/>
            <w:vAlign w:val="center"/>
          </w:tcPr>
          <w:p>
            <w:pPr>
              <w:spacing w:after="0"/>
            </w:pPr>
            <w:r/>
            <w:r>
              <w:rPr>
                <w:b/>
                <w:sz w:val="19"/>
              </w:rPr>
              <w:t>Run Options</w:t>
            </w:r>
          </w:p>
        </w:tc>
        <w:tc>
          <w:tcPr>
            <w:tcW w:type="dxa" w:w="3312"/>
            <w:vAlign w:val="center"/>
          </w:tcPr>
          <w:p>
            <w:pPr>
              <w:spacing w:after="0"/>
            </w:pPr>
            <w:r/>
            <w:r>
              <w:rPr>
                <w:b w:val="0"/>
                <w:sz w:val="19"/>
              </w:rPr>
              <w:t>Command, run name, max recordings, preview options</w:t>
            </w:r>
          </w:p>
        </w:tc>
        <w:tc>
          <w:tcPr>
            <w:tcW w:type="dxa" w:w="3312"/>
            <w:vAlign w:val="center"/>
          </w:tcPr>
          <w:p>
            <w:pPr>
              <w:spacing w:after="0"/>
            </w:pPr>
            <w:r/>
            <w:r>
              <w:rPr>
                <w:b w:val="0"/>
                <w:sz w:val="19"/>
              </w:rPr>
              <w:t>Controls whether you do a smoke test, predictions-only run, or full evaluation.</w:t>
            </w:r>
          </w:p>
        </w:tc>
      </w:tr>
      <w:tr>
        <w:tc>
          <w:tcPr>
            <w:tcW w:type="dxa" w:w="3312"/>
            <w:vAlign w:val="center"/>
          </w:tcPr>
          <w:p>
            <w:pPr>
              <w:spacing w:after="0"/>
            </w:pPr>
            <w:r/>
            <w:r>
              <w:rPr>
                <w:b/>
                <w:sz w:val="19"/>
              </w:rPr>
              <w:t>Progress / Output</w:t>
            </w:r>
          </w:p>
        </w:tc>
        <w:tc>
          <w:tcPr>
            <w:tcW w:type="dxa" w:w="3312"/>
            <w:vAlign w:val="center"/>
          </w:tcPr>
          <w:p>
            <w:pPr>
              <w:spacing w:after="0"/>
            </w:pPr>
            <w:r/>
            <w:r>
              <w:rPr>
                <w:b w:val="0"/>
                <w:sz w:val="19"/>
              </w:rPr>
              <w:t>Validation status and live subprocess output</w:t>
            </w:r>
          </w:p>
        </w:tc>
        <w:tc>
          <w:tcPr>
            <w:tcW w:type="dxa" w:w="3312"/>
            <w:vAlign w:val="center"/>
          </w:tcPr>
          <w:p>
            <w:pPr>
              <w:spacing w:after="0"/>
            </w:pPr>
            <w:r/>
            <w:r>
              <w:rPr>
                <w:b w:val="0"/>
                <w:sz w:val="19"/>
              </w:rPr>
              <w:t>Shows what is happening during the run.</w:t>
            </w:r>
          </w:p>
        </w:tc>
      </w:tr>
    </w:tbl>
    <w:p>
      <w:pPr>
        <w:pStyle w:val="Heading2"/>
      </w:pPr>
      <w:r>
        <w:t>What the main buttons mean</w:t>
      </w:r>
    </w:p>
    <w:tbl>
      <w:tblPr>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pPr>
            <w:r/>
            <w:r>
              <w:rPr>
                <w:b/>
                <w:color w:val="1F4E79"/>
                <w:sz w:val="19"/>
              </w:rPr>
              <w:t>Button</w:t>
            </w:r>
          </w:p>
        </w:tc>
        <w:tc>
          <w:tcPr>
            <w:tcW w:type="dxa" w:w="4968"/>
            <w:shd w:fill="D9EAF7"/>
            <w:vAlign w:val="center"/>
          </w:tcPr>
          <w:p>
            <w:pPr>
              <w:spacing w:after="0"/>
            </w:pPr>
            <w:r/>
            <w:r>
              <w:rPr>
                <w:b/>
                <w:color w:val="1F4E79"/>
                <w:sz w:val="19"/>
              </w:rPr>
              <w:t>Meaning</w:t>
            </w:r>
          </w:p>
        </w:tc>
      </w:tr>
      <w:tr>
        <w:tc>
          <w:tcPr>
            <w:tcW w:type="dxa" w:w="4968"/>
            <w:vAlign w:val="center"/>
          </w:tcPr>
          <w:p>
            <w:pPr>
              <w:spacing w:after="0"/>
            </w:pPr>
            <w:r/>
            <w:r>
              <w:rPr>
                <w:b/>
                <w:sz w:val="19"/>
              </w:rPr>
              <w:t>Validate</w:t>
            </w:r>
          </w:p>
        </w:tc>
        <w:tc>
          <w:tcPr>
            <w:tcW w:type="dxa" w:w="4968"/>
            <w:vAlign w:val="center"/>
          </w:tcPr>
          <w:p>
            <w:pPr>
              <w:spacing w:after="0"/>
            </w:pPr>
            <w:r/>
            <w:r>
              <w:rPr>
                <w:b w:val="0"/>
                <w:sz w:val="19"/>
              </w:rPr>
              <w:t>Checks whether the current selections form a valid run configuration. It does not start the run.</w:t>
            </w:r>
          </w:p>
        </w:tc>
      </w:tr>
      <w:tr>
        <w:tc>
          <w:tcPr>
            <w:tcW w:type="dxa" w:w="4968"/>
            <w:vAlign w:val="center"/>
          </w:tcPr>
          <w:p>
            <w:pPr>
              <w:spacing w:after="0"/>
            </w:pPr>
            <w:r/>
            <w:r>
              <w:rPr>
                <w:b/>
                <w:sz w:val="19"/>
              </w:rPr>
              <w:t>Launch Run</w:t>
            </w:r>
          </w:p>
        </w:tc>
        <w:tc>
          <w:tcPr>
            <w:tcW w:type="dxa" w:w="4968"/>
            <w:vAlign w:val="center"/>
          </w:tcPr>
          <w:p>
            <w:pPr>
              <w:spacing w:after="0"/>
            </w:pPr>
            <w:r/>
            <w:r>
              <w:rPr>
                <w:b w:val="0"/>
                <w:sz w:val="19"/>
              </w:rPr>
              <w:t>Serializes the current GUI selections into one or more CLI commands and executes them.</w:t>
            </w:r>
          </w:p>
        </w:tc>
      </w:tr>
      <w:tr>
        <w:tc>
          <w:tcPr>
            <w:tcW w:type="dxa" w:w="4968"/>
            <w:vAlign w:val="center"/>
          </w:tcPr>
          <w:p>
            <w:pPr>
              <w:spacing w:after="0"/>
            </w:pPr>
            <w:r/>
            <w:r>
              <w:rPr>
                <w:b/>
                <w:sz w:val="19"/>
              </w:rPr>
              <w:t>Generate Preview Audio</w:t>
            </w:r>
          </w:p>
        </w:tc>
        <w:tc>
          <w:tcPr>
            <w:tcW w:type="dxa" w:w="4968"/>
            <w:vAlign w:val="center"/>
          </w:tcPr>
          <w:p>
            <w:pPr>
              <w:spacing w:after="0"/>
            </w:pPr>
            <w:r/>
            <w:r>
              <w:rPr>
                <w:b w:val="0"/>
                <w:sz w:val="19"/>
              </w:rPr>
              <w:t>Creates preview-only augmented audio using the current augmentation settings without doing a full scored run.</w:t>
            </w:r>
          </w:p>
        </w:tc>
      </w:tr>
      <w:tr>
        <w:tc>
          <w:tcPr>
            <w:tcW w:type="dxa" w:w="4968"/>
            <w:vAlign w:val="center"/>
          </w:tcPr>
          <w:p>
            <w:pPr>
              <w:spacing w:after="0"/>
            </w:pPr>
            <w:r/>
            <w:r>
              <w:rPr>
                <w:b/>
                <w:sz w:val="19"/>
              </w:rPr>
              <w:t>Clear</w:t>
            </w:r>
          </w:p>
        </w:tc>
        <w:tc>
          <w:tcPr>
            <w:tcW w:type="dxa" w:w="4968"/>
            <w:vAlign w:val="center"/>
          </w:tcPr>
          <w:p>
            <w:pPr>
              <w:spacing w:after="0"/>
            </w:pPr>
            <w:r/>
            <w:r>
              <w:rPr>
                <w:b w:val="0"/>
                <w:sz w:val="19"/>
              </w:rPr>
              <w:t>Clears the selected values for a subset filter.</w:t>
            </w:r>
          </w:p>
        </w:tc>
      </w:tr>
      <w:tr>
        <w:tc>
          <w:tcPr>
            <w:tcW w:type="dxa" w:w="4968"/>
            <w:vAlign w:val="center"/>
          </w:tcPr>
          <w:p>
            <w:pPr>
              <w:spacing w:after="0"/>
            </w:pPr>
            <w:r/>
            <w:r>
              <w:rPr>
                <w:b/>
                <w:sz w:val="19"/>
              </w:rPr>
              <w:t>Done</w:t>
            </w:r>
          </w:p>
        </w:tc>
        <w:tc>
          <w:tcPr>
            <w:tcW w:type="dxa" w:w="4968"/>
            <w:vAlign w:val="center"/>
          </w:tcPr>
          <w:p>
            <w:pPr>
              <w:spacing w:after="0"/>
            </w:pPr>
            <w:r/>
            <w:r>
              <w:rPr>
                <w:b w:val="0"/>
                <w:sz w:val="19"/>
              </w:rPr>
              <w:t>Closes a subset popup and keeps the selected values.</w:t>
            </w:r>
          </w:p>
        </w:tc>
      </w:tr>
    </w:tbl>
    <w:p>
      <w:pPr>
        <w:pStyle w:val="Heading2"/>
      </w:pPr>
      <w:r>
        <w:t>Important GUI behavior</w:t>
      </w:r>
    </w:p>
    <w:p>
      <w:pPr>
        <w:pStyle w:val="ListBullet"/>
      </w:pPr>
      <w:r>
        <w:t>Subset filters are compact multi-select dropdowns. Leave them at Any to run the whole dataset.</w:t>
      </w:r>
    </w:p>
    <w:p>
      <w:pPr>
        <w:pStyle w:val="ListBullet"/>
      </w:pPr>
      <w:r>
        <w:t>If multiple datasets are selected, the GUI acts as a batch launcher and creates one run per dataset.</w:t>
      </w:r>
    </w:p>
    <w:p>
      <w:pPr>
        <w:pStyle w:val="ListBullet"/>
      </w:pPr>
      <w:r>
        <w:t>Augmentation controls are available only for CMU Arctic, LibriSpeech, and HiFiTTS.</w:t>
      </w:r>
    </w:p>
    <w:p>
      <w:pPr>
        <w:pStyle w:val="ListBullet"/>
      </w:pPr>
      <w:r>
        <w:t>When AMI, VOiCES, or CHiME-6 is selected, augmentation is hidden or disabled and the original recorded audio is used.</w:t>
      </w:r>
    </w:p>
    <w:p>
      <w:pPr>
        <w:pStyle w:val="ListBullet"/>
      </w:pPr>
      <w:r>
        <w:t>Preview generation can use a chosen source file, a specific recording_id, or the first record matched by the current dataset and filters.</w:t>
      </w:r>
    </w:p>
    <w:p>
      <w:pPr>
        <w:pStyle w:val="Heading1"/>
      </w:pPr>
      <w:r>
        <w:t>Using the CLI</w:t>
      </w:r>
    </w:p>
    <w:p>
      <w:r>
        <w:t>Use the CLI when you want reproducible commands, scripted runs, or more direct debugging.</w:t>
      </w:r>
    </w:p>
    <w:tbl>
      <w:tblPr>
        <w:tblW w:type="auto" w:w="0"/>
        <w:jc w:val="center"/>
        <w:tblLook w:firstColumn="1" w:firstRow="1" w:lastColumn="0" w:lastRow="0" w:noHBand="0" w:noVBand="1" w:val="04A0"/>
      </w:tblPr>
      <w:tblGrid>
        <w:gridCol w:w="3312"/>
        <w:gridCol w:w="3312"/>
        <w:gridCol w:w="3312"/>
      </w:tblGrid>
      <w:tr>
        <w:tc>
          <w:tcPr>
            <w:tcW w:type="dxa" w:w="3312"/>
            <w:shd w:fill="D9EAF7"/>
            <w:vAlign w:val="center"/>
          </w:tcPr>
          <w:p>
            <w:pPr>
              <w:spacing w:after="0"/>
            </w:pPr>
            <w:r/>
            <w:r>
              <w:rPr>
                <w:b/>
                <w:color w:val="1F4E79"/>
                <w:sz w:val="19"/>
              </w:rPr>
              <w:t>Command</w:t>
            </w:r>
          </w:p>
        </w:tc>
        <w:tc>
          <w:tcPr>
            <w:tcW w:type="dxa" w:w="3312"/>
            <w:shd w:fill="D9EAF7"/>
            <w:vAlign w:val="center"/>
          </w:tcPr>
          <w:p>
            <w:pPr>
              <w:spacing w:after="0"/>
            </w:pPr>
            <w:r/>
            <w:r>
              <w:rPr>
                <w:b/>
                <w:color w:val="1F4E79"/>
                <w:sz w:val="19"/>
              </w:rPr>
              <w:t>What it does</w:t>
            </w:r>
          </w:p>
        </w:tc>
        <w:tc>
          <w:tcPr>
            <w:tcW w:type="dxa" w:w="3312"/>
            <w:shd w:fill="D9EAF7"/>
            <w:vAlign w:val="center"/>
          </w:tcPr>
          <w:p>
            <w:pPr>
              <w:spacing w:after="0"/>
            </w:pPr>
            <w:r/>
            <w:r>
              <w:rPr>
                <w:b/>
                <w:color w:val="1F4E79"/>
                <w:sz w:val="19"/>
              </w:rPr>
              <w:t>When to use it</w:t>
            </w:r>
          </w:p>
        </w:tc>
      </w:tr>
      <w:tr>
        <w:tc>
          <w:tcPr>
            <w:tcW w:type="dxa" w:w="3312"/>
            <w:vAlign w:val="center"/>
          </w:tcPr>
          <w:p>
            <w:pPr>
              <w:spacing w:after="0"/>
            </w:pPr>
            <w:r/>
            <w:r>
              <w:rPr>
                <w:b/>
                <w:sz w:val="19"/>
              </w:rPr>
              <w:t>list-datasets</w:t>
            </w:r>
          </w:p>
        </w:tc>
        <w:tc>
          <w:tcPr>
            <w:tcW w:type="dxa" w:w="3312"/>
            <w:vAlign w:val="center"/>
          </w:tcPr>
          <w:p>
            <w:pPr>
              <w:spacing w:after="0"/>
            </w:pPr>
            <w:r/>
            <w:r>
              <w:rPr>
                <w:b w:val="0"/>
                <w:sz w:val="19"/>
              </w:rPr>
              <w:t>Shows registered datasets, filters, and capabilities.</w:t>
            </w:r>
          </w:p>
        </w:tc>
        <w:tc>
          <w:tcPr>
            <w:tcW w:type="dxa" w:w="3312"/>
            <w:vAlign w:val="center"/>
          </w:tcPr>
          <w:p>
            <w:pPr>
              <w:spacing w:after="0"/>
            </w:pPr>
            <w:r/>
            <w:r>
              <w:rPr>
                <w:b w:val="0"/>
                <w:sz w:val="19"/>
              </w:rPr>
              <w:t>First sanity check after setup.</w:t>
            </w:r>
          </w:p>
        </w:tc>
      </w:tr>
      <w:tr>
        <w:tc>
          <w:tcPr>
            <w:tcW w:type="dxa" w:w="3312"/>
            <w:vAlign w:val="center"/>
          </w:tcPr>
          <w:p>
            <w:pPr>
              <w:spacing w:after="0"/>
            </w:pPr>
            <w:r/>
            <w:r>
              <w:rPr>
                <w:b/>
                <w:sz w:val="19"/>
              </w:rPr>
              <w:t>gui</w:t>
            </w:r>
          </w:p>
        </w:tc>
        <w:tc>
          <w:tcPr>
            <w:tcW w:type="dxa" w:w="3312"/>
            <w:vAlign w:val="center"/>
          </w:tcPr>
          <w:p>
            <w:pPr>
              <w:spacing w:after="0"/>
            </w:pPr>
            <w:r/>
            <w:r>
              <w:rPr>
                <w:b w:val="0"/>
                <w:sz w:val="19"/>
              </w:rPr>
              <w:t>Launches the tkinter GUI.</w:t>
            </w:r>
          </w:p>
        </w:tc>
        <w:tc>
          <w:tcPr>
            <w:tcW w:type="dxa" w:w="3312"/>
            <w:vAlign w:val="center"/>
          </w:tcPr>
          <w:p>
            <w:pPr>
              <w:spacing w:after="0"/>
            </w:pPr>
            <w:r/>
            <w:r>
              <w:rPr>
                <w:b w:val="0"/>
                <w:sz w:val="19"/>
              </w:rPr>
              <w:t>Best for interactive configuration.</w:t>
            </w:r>
          </w:p>
        </w:tc>
      </w:tr>
      <w:tr>
        <w:tc>
          <w:tcPr>
            <w:tcW w:type="dxa" w:w="3312"/>
            <w:vAlign w:val="center"/>
          </w:tcPr>
          <w:p>
            <w:pPr>
              <w:spacing w:after="0"/>
            </w:pPr>
            <w:r/>
            <w:r>
              <w:rPr>
                <w:b/>
                <w:sz w:val="19"/>
              </w:rPr>
              <w:t>run</w:t>
            </w:r>
          </w:p>
        </w:tc>
        <w:tc>
          <w:tcPr>
            <w:tcW w:type="dxa" w:w="3312"/>
            <w:vAlign w:val="center"/>
          </w:tcPr>
          <w:p>
            <w:pPr>
              <w:spacing w:after="0"/>
            </w:pPr>
            <w:r/>
            <w:r>
              <w:rPr>
                <w:b w:val="0"/>
                <w:sz w:val="19"/>
              </w:rPr>
              <w:t>Runs inference only and writes predictions.</w:t>
            </w:r>
          </w:p>
        </w:tc>
        <w:tc>
          <w:tcPr>
            <w:tcW w:type="dxa" w:w="3312"/>
            <w:vAlign w:val="center"/>
          </w:tcPr>
          <w:p>
            <w:pPr>
              <w:spacing w:after="0"/>
            </w:pPr>
            <w:r/>
            <w:r>
              <w:rPr>
                <w:b w:val="0"/>
                <w:sz w:val="19"/>
              </w:rPr>
              <w:t>Use when another system will score later or when you want only the prediction step.</w:t>
            </w:r>
          </w:p>
        </w:tc>
      </w:tr>
      <w:tr>
        <w:tc>
          <w:tcPr>
            <w:tcW w:type="dxa" w:w="3312"/>
            <w:vAlign w:val="center"/>
          </w:tcPr>
          <w:p>
            <w:pPr>
              <w:spacing w:after="0"/>
            </w:pPr>
            <w:r/>
            <w:r>
              <w:rPr>
                <w:b/>
                <w:sz w:val="19"/>
              </w:rPr>
              <w:t>score</w:t>
            </w:r>
          </w:p>
        </w:tc>
        <w:tc>
          <w:tcPr>
            <w:tcW w:type="dxa" w:w="3312"/>
            <w:vAlign w:val="center"/>
          </w:tcPr>
          <w:p>
            <w:pPr>
              <w:spacing w:after="0"/>
            </w:pPr>
            <w:r/>
            <w:r>
              <w:rPr>
                <w:b w:val="0"/>
                <w:sz w:val="19"/>
              </w:rPr>
              <w:t>Scores predictions in an existing run folder.</w:t>
            </w:r>
          </w:p>
        </w:tc>
        <w:tc>
          <w:tcPr>
            <w:tcW w:type="dxa" w:w="3312"/>
            <w:vAlign w:val="center"/>
          </w:tcPr>
          <w:p>
            <w:pPr>
              <w:spacing w:after="0"/>
            </w:pPr>
            <w:r/>
            <w:r>
              <w:rPr>
                <w:b w:val="0"/>
                <w:sz w:val="19"/>
              </w:rPr>
              <w:t>Use after run when predictions already exist.</w:t>
            </w:r>
          </w:p>
        </w:tc>
      </w:tr>
      <w:tr>
        <w:tc>
          <w:tcPr>
            <w:tcW w:type="dxa" w:w="3312"/>
            <w:vAlign w:val="center"/>
          </w:tcPr>
          <w:p>
            <w:pPr>
              <w:spacing w:after="0"/>
            </w:pPr>
            <w:r/>
            <w:r>
              <w:rPr>
                <w:b/>
                <w:sz w:val="19"/>
              </w:rPr>
              <w:t>report</w:t>
            </w:r>
          </w:p>
        </w:tc>
        <w:tc>
          <w:tcPr>
            <w:tcW w:type="dxa" w:w="3312"/>
            <w:vAlign w:val="center"/>
          </w:tcPr>
          <w:p>
            <w:pPr>
              <w:spacing w:after="0"/>
            </w:pPr>
            <w:r/>
            <w:r>
              <w:rPr>
                <w:b w:val="0"/>
                <w:sz w:val="19"/>
              </w:rPr>
              <w:t>Builds plots and a Markdown report from an existing scored run.</w:t>
            </w:r>
          </w:p>
        </w:tc>
        <w:tc>
          <w:tcPr>
            <w:tcW w:type="dxa" w:w="3312"/>
            <w:vAlign w:val="center"/>
          </w:tcPr>
          <w:p>
            <w:pPr>
              <w:spacing w:after="0"/>
            </w:pPr>
            <w:r/>
            <w:r>
              <w:rPr>
                <w:b w:val="0"/>
                <w:sz w:val="19"/>
              </w:rPr>
              <w:t>Use after score when metrics already exist.</w:t>
            </w:r>
          </w:p>
        </w:tc>
      </w:tr>
      <w:tr>
        <w:tc>
          <w:tcPr>
            <w:tcW w:type="dxa" w:w="3312"/>
            <w:vAlign w:val="center"/>
          </w:tcPr>
          <w:p>
            <w:pPr>
              <w:spacing w:after="0"/>
            </w:pPr>
            <w:r/>
            <w:r>
              <w:rPr>
                <w:b/>
                <w:sz w:val="19"/>
              </w:rPr>
              <w:t>full</w:t>
            </w:r>
          </w:p>
        </w:tc>
        <w:tc>
          <w:tcPr>
            <w:tcW w:type="dxa" w:w="3312"/>
            <w:vAlign w:val="center"/>
          </w:tcPr>
          <w:p>
            <w:pPr>
              <w:spacing w:after="0"/>
            </w:pPr>
            <w:r/>
            <w:r>
              <w:rPr>
                <w:b w:val="0"/>
                <w:sz w:val="19"/>
              </w:rPr>
              <w:t>Runs selection, inference, scoring, plots, and reporting end-to-end.</w:t>
            </w:r>
          </w:p>
        </w:tc>
        <w:tc>
          <w:tcPr>
            <w:tcW w:type="dxa" w:w="3312"/>
            <w:vAlign w:val="center"/>
          </w:tcPr>
          <w:p>
            <w:pPr>
              <w:spacing w:after="0"/>
            </w:pPr>
            <w:r/>
            <w:r>
              <w:rPr>
                <w:b w:val="0"/>
                <w:sz w:val="19"/>
              </w:rPr>
              <w:t>Normal one-shot evaluation workflow.</w:t>
            </w:r>
          </w:p>
        </w:tc>
      </w:tr>
    </w:tbl>
    <w:p>
      <w:pPr>
        <w:pStyle w:val="Heading2"/>
      </w:pPr>
      <w:r>
        <w:t>Difference between run and full</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vAlign w:val="center"/>
          </w:tcPr>
          <w:p>
            <w:pPr>
              <w:spacing w:after="0"/>
            </w:pPr>
            <w:r/>
            <w:r>
              <w:rPr>
                <w:b/>
                <w:color w:val="1F4E79"/>
                <w:sz w:val="19"/>
              </w:rPr>
              <w:t>Command</w:t>
            </w:r>
          </w:p>
        </w:tc>
        <w:tc>
          <w:tcPr>
            <w:tcW w:type="dxa" w:w="1987"/>
            <w:shd w:fill="D9EAF7"/>
            <w:vAlign w:val="center"/>
          </w:tcPr>
          <w:p>
            <w:pPr>
              <w:spacing w:after="0"/>
            </w:pPr>
            <w:r/>
            <w:r>
              <w:rPr>
                <w:b/>
                <w:color w:val="1F4E79"/>
                <w:sz w:val="19"/>
              </w:rPr>
              <w:t>Inference</w:t>
            </w:r>
          </w:p>
        </w:tc>
        <w:tc>
          <w:tcPr>
            <w:tcW w:type="dxa" w:w="1987"/>
            <w:shd w:fill="D9EAF7"/>
            <w:vAlign w:val="center"/>
          </w:tcPr>
          <w:p>
            <w:pPr>
              <w:spacing w:after="0"/>
            </w:pPr>
            <w:r/>
            <w:r>
              <w:rPr>
                <w:b/>
                <w:color w:val="1F4E79"/>
                <w:sz w:val="19"/>
              </w:rPr>
              <w:t>Scoring</w:t>
            </w:r>
          </w:p>
        </w:tc>
        <w:tc>
          <w:tcPr>
            <w:tcW w:type="dxa" w:w="1987"/>
            <w:shd w:fill="D9EAF7"/>
            <w:vAlign w:val="center"/>
          </w:tcPr>
          <w:p>
            <w:pPr>
              <w:spacing w:after="0"/>
            </w:pPr>
            <w:r/>
            <w:r>
              <w:rPr>
                <w:b/>
                <w:color w:val="1F4E79"/>
                <w:sz w:val="19"/>
              </w:rPr>
              <w:t>Plots</w:t>
            </w:r>
          </w:p>
        </w:tc>
        <w:tc>
          <w:tcPr>
            <w:tcW w:type="dxa" w:w="1987"/>
            <w:shd w:fill="D9EAF7"/>
            <w:vAlign w:val="center"/>
          </w:tcPr>
          <w:p>
            <w:pPr>
              <w:spacing w:after="0"/>
            </w:pPr>
            <w:r/>
            <w:r>
              <w:rPr>
                <w:b/>
                <w:color w:val="1F4E79"/>
                <w:sz w:val="19"/>
              </w:rPr>
              <w:t>Report</w:t>
            </w:r>
          </w:p>
        </w:tc>
      </w:tr>
      <w:tr>
        <w:tc>
          <w:tcPr>
            <w:tcW w:type="dxa" w:w="1987"/>
            <w:vAlign w:val="center"/>
          </w:tcPr>
          <w:p>
            <w:pPr>
              <w:spacing w:after="0"/>
            </w:pPr>
            <w:r/>
            <w:r>
              <w:rPr>
                <w:b w:val="0"/>
                <w:sz w:val="19"/>
              </w:rPr>
              <w:t>run</w:t>
            </w:r>
          </w:p>
        </w:tc>
        <w:tc>
          <w:tcPr>
            <w:tcW w:type="dxa" w:w="1987"/>
            <w:vAlign w:val="center"/>
          </w:tcPr>
          <w:p>
            <w:pPr>
              <w:spacing w:after="0"/>
            </w:pPr>
            <w:r/>
            <w:r>
              <w:rPr>
                <w:b w:val="0"/>
                <w:sz w:val="19"/>
              </w:rPr>
              <w:t>Yes</w:t>
            </w:r>
          </w:p>
        </w:tc>
        <w:tc>
          <w:tcPr>
            <w:tcW w:type="dxa" w:w="1987"/>
            <w:vAlign w:val="center"/>
          </w:tcPr>
          <w:p>
            <w:pPr>
              <w:spacing w:after="0"/>
            </w:pPr>
            <w:r/>
            <w:r>
              <w:rPr>
                <w:b w:val="0"/>
                <w:sz w:val="19"/>
              </w:rPr>
              <w:t>No</w:t>
            </w:r>
          </w:p>
        </w:tc>
        <w:tc>
          <w:tcPr>
            <w:tcW w:type="dxa" w:w="1987"/>
            <w:vAlign w:val="center"/>
          </w:tcPr>
          <w:p>
            <w:pPr>
              <w:spacing w:after="0"/>
            </w:pPr>
            <w:r/>
            <w:r>
              <w:rPr>
                <w:b w:val="0"/>
                <w:sz w:val="19"/>
              </w:rPr>
              <w:t>No</w:t>
            </w:r>
          </w:p>
        </w:tc>
        <w:tc>
          <w:tcPr>
            <w:tcW w:type="dxa" w:w="1987"/>
            <w:vAlign w:val="center"/>
          </w:tcPr>
          <w:p>
            <w:pPr>
              <w:spacing w:after="0"/>
            </w:pPr>
            <w:r/>
            <w:r>
              <w:rPr>
                <w:b w:val="0"/>
                <w:sz w:val="19"/>
              </w:rPr>
              <w:t>No</w:t>
            </w:r>
          </w:p>
        </w:tc>
      </w:tr>
      <w:tr>
        <w:tc>
          <w:tcPr>
            <w:tcW w:type="dxa" w:w="1987"/>
            <w:vAlign w:val="center"/>
          </w:tcPr>
          <w:p>
            <w:pPr>
              <w:spacing w:after="0"/>
            </w:pPr>
            <w:r/>
            <w:r>
              <w:rPr>
                <w:b w:val="0"/>
                <w:sz w:val="19"/>
              </w:rPr>
              <w:t>full</w:t>
            </w:r>
          </w:p>
        </w:tc>
        <w:tc>
          <w:tcPr>
            <w:tcW w:type="dxa" w:w="1987"/>
            <w:vAlign w:val="center"/>
          </w:tcPr>
          <w:p>
            <w:pPr>
              <w:spacing w:after="0"/>
            </w:pPr>
            <w:r/>
            <w:r>
              <w:rPr>
                <w:b w:val="0"/>
                <w:sz w:val="19"/>
              </w:rPr>
              <w:t>Yes</w:t>
            </w:r>
          </w:p>
        </w:tc>
        <w:tc>
          <w:tcPr>
            <w:tcW w:type="dxa" w:w="1987"/>
            <w:vAlign w:val="center"/>
          </w:tcPr>
          <w:p>
            <w:pPr>
              <w:spacing w:after="0"/>
            </w:pPr>
            <w:r/>
            <w:r>
              <w:rPr>
                <w:b w:val="0"/>
                <w:sz w:val="19"/>
              </w:rPr>
              <w:t>Yes</w:t>
            </w:r>
          </w:p>
        </w:tc>
        <w:tc>
          <w:tcPr>
            <w:tcW w:type="dxa" w:w="1987"/>
            <w:vAlign w:val="center"/>
          </w:tcPr>
          <w:p>
            <w:pPr>
              <w:spacing w:after="0"/>
            </w:pPr>
            <w:r/>
            <w:r>
              <w:rPr>
                <w:b w:val="0"/>
                <w:sz w:val="19"/>
              </w:rPr>
              <w:t>Yes</w:t>
            </w:r>
          </w:p>
        </w:tc>
        <w:tc>
          <w:tcPr>
            <w:tcW w:type="dxa" w:w="1987"/>
            <w:vAlign w:val="center"/>
          </w:tcPr>
          <w:p>
            <w:pPr>
              <w:spacing w:after="0"/>
            </w:pPr>
            <w:r/>
            <w:r>
              <w:rPr>
                <w:b w:val="0"/>
                <w:sz w:val="19"/>
              </w:rPr>
              <w:t>Yes</w:t>
            </w:r>
          </w:p>
        </w:tc>
      </w:tr>
    </w:tbl>
    <w:p>
      <w:pPr>
        <w:pStyle w:val="Heading2"/>
      </w:pPr>
      <w:r>
        <w:t>Representative CLI examples</w:t>
      </w:r>
    </w:p>
    <w:p>
      <w:pPr>
        <w:pStyle w:val="Small"/>
        <w:ind w:left="360"/>
      </w:pPr>
      <w:r>
        <w:rPr>
          <w:rFonts w:ascii="Consolas" w:hAnsi="Consolas"/>
        </w:rPr>
        <w:t>python run_evaluation.py list-datasets</w:t>
      </w:r>
    </w:p>
    <w:p>
      <w:pPr>
        <w:pStyle w:val="Small"/>
        <w:ind w:left="360"/>
      </w:pPr>
      <w:r>
        <w:rPr>
          <w:rFonts w:ascii="Consolas" w:hAnsi="Consolas"/>
        </w:rPr>
        <w:t>python run_evaluation.py full --dataset cmu_arctic --max-recordings 10 --simulation-mode perfect --run-name cmu_clean_smoke</w:t>
      </w:r>
    </w:p>
    <w:p>
      <w:pPr>
        <w:pStyle w:val="Small"/>
        <w:ind w:left="360"/>
      </w:pPr>
      <w:r>
        <w:rPr>
          <w:rFonts w:ascii="Consolas" w:hAnsi="Consolas"/>
        </w:rPr>
        <w:t>python run_evaluation.py full --dataset librispeech --subset split=dev-clean --max-recordings 10 --augmentation noise --noise-type white --snr-db 20 --simulation-mode noisy --run-name libri_white20</w:t>
      </w:r>
    </w:p>
    <w:p>
      <w:pPr>
        <w:pStyle w:val="Small"/>
        <w:ind w:left="360"/>
      </w:pPr>
      <w:r>
        <w:rPr>
          <w:rFonts w:ascii="Consolas" w:hAnsi="Consolas"/>
        </w:rPr>
        <w:t>python run_evaluation.py run --dataset hifitts --reader-split 6097_clean --max-recordings 25 --runner external-stub --run-name hifitts_manifest</w:t>
      </w:r>
    </w:p>
    <w:p>
      <w:pPr>
        <w:pStyle w:val="Heading1"/>
      </w:pPr>
      <w:r>
        <w:t>How to connect another person’s inference code</w:t>
      </w:r>
    </w:p>
    <w:p>
      <w:r>
        <w:t>The real integration point is the external runner hook.</w:t>
      </w:r>
    </w:p>
    <w:p>
      <w:pPr>
        <w:pStyle w:val="ListBullet"/>
      </w:pPr>
      <w:r>
        <w:t>The current placeholder is Evaluation Tool/app/model_runner/external_stub.py.</w:t>
      </w:r>
    </w:p>
    <w:p>
      <w:pPr>
        <w:pStyle w:val="ListBullet"/>
      </w:pPr>
      <w:r>
        <w:t>A real backend should replace ExternalStubRunner.predict_one() or otherwise create predictions/utterances.jsonl before scoring.</w:t>
      </w:r>
    </w:p>
    <w:p>
      <w:pPr>
        <w:pStyle w:val="ListBullet"/>
      </w:pPr>
      <w:r>
        <w:t>Inside predict_one(), the most important field is record['inference_audio_path']. For augmented runs this can be a temporary WAV file.</w:t>
      </w:r>
    </w:p>
    <w:tbl>
      <w:tblPr>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pPr>
            <w:r/>
            <w:r>
              <w:rPr>
                <w:b/>
                <w:color w:val="1F4E79"/>
                <w:sz w:val="19"/>
              </w:rPr>
              <w:t>Field passed into inference</w:t>
            </w:r>
          </w:p>
        </w:tc>
        <w:tc>
          <w:tcPr>
            <w:tcW w:type="dxa" w:w="4968"/>
            <w:shd w:fill="D9EAF7"/>
            <w:vAlign w:val="center"/>
          </w:tcPr>
          <w:p>
            <w:pPr>
              <w:spacing w:after="0"/>
            </w:pPr>
            <w:r/>
            <w:r>
              <w:rPr>
                <w:b/>
                <w:color w:val="1F4E79"/>
                <w:sz w:val="19"/>
              </w:rPr>
              <w:t>Why it matters</w:t>
            </w:r>
          </w:p>
        </w:tc>
      </w:tr>
      <w:tr>
        <w:tc>
          <w:tcPr>
            <w:tcW w:type="dxa" w:w="4968"/>
            <w:vAlign w:val="center"/>
          </w:tcPr>
          <w:p>
            <w:pPr>
              <w:spacing w:after="0"/>
            </w:pPr>
            <w:r/>
            <w:r>
              <w:rPr>
                <w:b/>
                <w:sz w:val="19"/>
              </w:rPr>
              <w:t>recording_id</w:t>
            </w:r>
          </w:p>
        </w:tc>
        <w:tc>
          <w:tcPr>
            <w:tcW w:type="dxa" w:w="4968"/>
            <w:vAlign w:val="center"/>
          </w:tcPr>
          <w:p>
            <w:pPr>
              <w:spacing w:after="0"/>
            </w:pPr>
            <w:r/>
            <w:r>
              <w:rPr>
                <w:b w:val="0"/>
                <w:sz w:val="19"/>
              </w:rPr>
              <w:t>Unique evaluation ID. For augmented items this includes the augmentation condition.</w:t>
            </w:r>
          </w:p>
        </w:tc>
      </w:tr>
      <w:tr>
        <w:tc>
          <w:tcPr>
            <w:tcW w:type="dxa" w:w="4968"/>
            <w:vAlign w:val="center"/>
          </w:tcPr>
          <w:p>
            <w:pPr>
              <w:spacing w:after="0"/>
            </w:pPr>
            <w:r/>
            <w:r>
              <w:rPr>
                <w:b/>
                <w:sz w:val="19"/>
              </w:rPr>
              <w:t>utt_id</w:t>
            </w:r>
          </w:p>
        </w:tc>
        <w:tc>
          <w:tcPr>
            <w:tcW w:type="dxa" w:w="4968"/>
            <w:vAlign w:val="center"/>
          </w:tcPr>
          <w:p>
            <w:pPr>
              <w:spacing w:after="0"/>
            </w:pPr>
            <w:r/>
            <w:r>
              <w:rPr>
                <w:b w:val="0"/>
                <w:sz w:val="19"/>
              </w:rPr>
              <w:t>Utterance or segment ID. The scorer uses (recording_id, utt_id) as the key.</w:t>
            </w:r>
          </w:p>
        </w:tc>
      </w:tr>
      <w:tr>
        <w:tc>
          <w:tcPr>
            <w:tcW w:type="dxa" w:w="4968"/>
            <w:vAlign w:val="center"/>
          </w:tcPr>
          <w:p>
            <w:pPr>
              <w:spacing w:after="0"/>
            </w:pPr>
            <w:r/>
            <w:r>
              <w:rPr>
                <w:b/>
                <w:sz w:val="19"/>
              </w:rPr>
              <w:t>inference_audio_path</w:t>
            </w:r>
          </w:p>
        </w:tc>
        <w:tc>
          <w:tcPr>
            <w:tcW w:type="dxa" w:w="4968"/>
            <w:vAlign w:val="center"/>
          </w:tcPr>
          <w:p>
            <w:pPr>
              <w:spacing w:after="0"/>
            </w:pPr>
            <w:r/>
            <w:r>
              <w:rPr>
                <w:b w:val="0"/>
                <w:sz w:val="19"/>
              </w:rPr>
              <w:t>Actual audio path the external runner should read.</w:t>
            </w:r>
          </w:p>
        </w:tc>
      </w:tr>
      <w:tr>
        <w:tc>
          <w:tcPr>
            <w:tcW w:type="dxa" w:w="4968"/>
            <w:vAlign w:val="center"/>
          </w:tcPr>
          <w:p>
            <w:pPr>
              <w:spacing w:after="0"/>
            </w:pPr>
            <w:r/>
            <w:r>
              <w:rPr>
                <w:b/>
                <w:sz w:val="19"/>
              </w:rPr>
              <w:t>start_sec / end_sec</w:t>
            </w:r>
          </w:p>
        </w:tc>
        <w:tc>
          <w:tcPr>
            <w:tcW w:type="dxa" w:w="4968"/>
            <w:vAlign w:val="center"/>
          </w:tcPr>
          <w:p>
            <w:pPr>
              <w:spacing w:after="0"/>
            </w:pPr>
            <w:r/>
            <w:r>
              <w:rPr>
                <w:b w:val="0"/>
                <w:sz w:val="19"/>
              </w:rPr>
              <w:t>Segment timing for AMI and CHiME-6 style datasets.</w:t>
            </w:r>
          </w:p>
        </w:tc>
      </w:tr>
      <w:tr>
        <w:tc>
          <w:tcPr>
            <w:tcW w:type="dxa" w:w="4968"/>
            <w:vAlign w:val="center"/>
          </w:tcPr>
          <w:p>
            <w:pPr>
              <w:spacing w:after="0"/>
            </w:pPr>
            <w:r/>
            <w:r>
              <w:rPr>
                <w:b/>
                <w:sz w:val="19"/>
              </w:rPr>
              <w:t>speaker_label</w:t>
            </w:r>
          </w:p>
        </w:tc>
        <w:tc>
          <w:tcPr>
            <w:tcW w:type="dxa" w:w="4968"/>
            <w:vAlign w:val="center"/>
          </w:tcPr>
          <w:p>
            <w:pPr>
              <w:spacing w:after="0"/>
            </w:pPr>
            <w:r/>
            <w:r>
              <w:rPr>
                <w:b w:val="0"/>
                <w:sz w:val="19"/>
              </w:rPr>
              <w:t>Reference speaker label when available.</w:t>
            </w:r>
          </w:p>
        </w:tc>
      </w:tr>
    </w:tbl>
    <w:p>
      <w:pPr>
        <w:pStyle w:val="Heading2"/>
      </w:pPr>
      <w:r>
        <w:t>Minimum required prediction file</w:t>
      </w:r>
    </w:p>
    <w:p>
      <w:pPr>
        <w:pStyle w:val="Small"/>
        <w:ind w:left="360"/>
      </w:pPr>
      <w:r>
        <w:rPr>
          <w:rFonts w:ascii="Consolas" w:hAnsi="Consolas"/>
        </w:rPr>
        <w:t>predictions/utterances.jsonl</w:t>
      </w:r>
    </w:p>
    <w:p>
      <w:pPr>
        <w:pStyle w:val="Callout"/>
      </w:pPr>
      <w:r>
        <w:t>Each line should contain recording_id, utt_id, start_sec, end_sec, speaker_label, and text. The scorer matches on (recording_id, utt_id).</w:t>
      </w:r>
    </w:p>
    <w:p>
      <w:pPr>
        <w:pStyle w:val="Heading2"/>
      </w:pPr>
      <w:r>
        <w:t>Recommended integration sequence</w:t>
      </w:r>
    </w:p>
    <w:p>
      <w:pPr>
        <w:pStyle w:val="ListNumber"/>
      </w:pPr>
      <w:r>
        <w:t>Open Evaluation Tool/app/model_runner/external_stub.py.</w:t>
      </w:r>
    </w:p>
    <w:p>
      <w:pPr>
        <w:pStyle w:val="ListNumber"/>
      </w:pPr>
      <w:r>
        <w:t>Replace ExternalStubRunner.predict_one() with a call into the real inference pipeline.</w:t>
      </w:r>
    </w:p>
    <w:p>
      <w:pPr>
        <w:pStyle w:val="ListNumber"/>
      </w:pPr>
      <w:r>
        <w:t>Use record['inference_audio_path'] as the audio input path.</w:t>
      </w:r>
    </w:p>
    <w:p>
      <w:pPr>
        <w:pStyle w:val="ListNumber"/>
      </w:pPr>
      <w:r>
        <w:t>For AMI and CHiME-6, also use start_sec and end_sec to crop or align the relevant segment.</w:t>
      </w:r>
    </w:p>
    <w:p>
      <w:pPr>
        <w:pStyle w:val="ListNumber"/>
      </w:pPr>
      <w:r>
        <w:t>Return predictions with the same recording_id and utt_id that the tool provided.</w:t>
      </w:r>
    </w:p>
    <w:p>
      <w:pPr>
        <w:pStyle w:val="ListNumber"/>
      </w:pPr>
      <w:r>
        <w:t>Run a very small full smoke test on CMU Arctic first, then test AMI or CHiME-6 with a small filtered subset.</w:t>
      </w:r>
    </w:p>
    <w:p>
      <w:pPr>
        <w:pStyle w:val="Heading2"/>
      </w:pPr>
      <w:r>
        <w:t>What the tool gives to another person’s code</w:t>
      </w:r>
    </w:p>
    <w:p>
      <w:pPr/>
      <w:r>
        <w:t>When the Evaluation Tool calls the external runner, it does not just hand over an audio filename. It hands over a structured record that tells the inference code exactly what item is being evaluated and how that item should be scored later.</w:t>
      </w:r>
    </w:p>
    <w:p>
      <w:pPr>
        <w:pStyle w:val="ListBullet"/>
      </w:pPr>
      <w:r>
        <w:t>recording_id: the scoring key for the evaluation item</w:t>
      </w:r>
    </w:p>
    <w:p>
      <w:pPr>
        <w:pStyle w:val="ListBullet"/>
      </w:pPr>
      <w:r>
        <w:t>utt_id: the utterance/segment key paired with recording_id</w:t>
      </w:r>
    </w:p>
    <w:p>
      <w:pPr>
        <w:pStyle w:val="ListBullet"/>
      </w:pPr>
      <w:r>
        <w:t>inference_audio_path: the actual audio file the inference code should read</w:t>
      </w:r>
    </w:p>
    <w:p>
      <w:pPr>
        <w:pStyle w:val="ListBullet"/>
      </w:pPr>
      <w:r>
        <w:t>source_recording_id: the original source item before augmentation expansion</w:t>
      </w:r>
    </w:p>
    <w:p>
      <w:pPr>
        <w:pStyle w:val="ListBullet"/>
      </w:pPr>
      <w:r>
        <w:t>start_sec and end_sec: segment bounds for AMI and CHiME-6 style datasets</w:t>
      </w:r>
    </w:p>
    <w:p>
      <w:pPr>
        <w:pStyle w:val="ListBullet"/>
      </w:pPr>
      <w:r>
        <w:t>speaker_label: reference speaker label when available</w:t>
      </w:r>
    </w:p>
    <w:p>
      <w:pPr>
        <w:pStyle w:val="ListBullet"/>
      </w:pPr>
      <w:r>
        <w:t>augmentation fields such as augmentation_mode, rir_label, noise_type, and snr_db when applicable</w:t>
      </w:r>
    </w:p>
    <w:p>
      <w:pPr/>
      <w:r>
        <w:t>The most important practical rule is this: the external inference code should always read audio from inference_audio_path, and it must return predictions keyed with the exact same recording_id and utt_id values it received.</w:t>
      </w:r>
    </w:p>
    <w:p>
      <w:pPr>
        <w:pStyle w:val="Heading2"/>
      </w:pPr>
      <w:r>
        <w:t>Two safe ways to integrate another person’s pipeline</w:t>
      </w:r>
    </w:p>
    <w:p>
      <w:pPr>
        <w:pStyle w:val="Heading3"/>
      </w:pPr>
      <w:r>
        <w:t>Option 1: direct Python integration inside the runner</w:t>
      </w:r>
    </w:p>
    <w:p>
      <w:pPr/>
      <w:r>
        <w:t>This is the preferred approach. In this setup, you edit Evaluation Tool/app/model_runner/external_stub.py and replace the placeholder logic with a real function call into the other person’s ASR or diarization pipeline.</w:t>
      </w:r>
    </w:p>
    <w:p>
      <w:pPr>
        <w:pStyle w:val="ListNumber"/>
      </w:pPr>
      <w:r>
        <w:t>Open Evaluation Tool/app/model_runner/external_stub.py.</w:t>
      </w:r>
    </w:p>
    <w:p>
      <w:pPr>
        <w:pStyle w:val="ListNumber"/>
      </w:pPr>
      <w:r>
        <w:t>Find ExternalStubRunner.predict_one().</w:t>
      </w:r>
    </w:p>
    <w:p>
      <w:pPr>
        <w:pStyle w:val="ListNumber"/>
      </w:pPr>
      <w:r>
        <w:t>Replace the stub body with a call into the other person’s inference code.</w:t>
      </w:r>
    </w:p>
    <w:p>
      <w:pPr>
        <w:pStyle w:val="ListNumber"/>
      </w:pPr>
      <w:r>
        <w:t>Read the audio from record['inference_audio_path'].</w:t>
      </w:r>
    </w:p>
    <w:p>
      <w:pPr>
        <w:pStyle w:val="ListNumber"/>
      </w:pPr>
      <w:r>
        <w:t>For AMI and CHiME-6, also use start_sec and end_sec if the external system needs to crop or align a stream segment.</w:t>
      </w:r>
    </w:p>
    <w:p>
      <w:pPr>
        <w:pStyle w:val="ListNumber"/>
      </w:pPr>
      <w:r>
        <w:t>Return a prediction object using the exact recording_id and utt_id given by the Evaluation Tool.</w:t>
      </w:r>
    </w:p>
    <w:p>
      <w:pPr/>
      <w:r>
        <w:t>Why this is best: it works cleanly with temporary augmented files, keeps all run artifacts in one place, and allows full end-to-end runs with the full command.</w:t>
      </w:r>
    </w:p>
    <w:p>
      <w:pPr>
        <w:pStyle w:val="Heading3"/>
      </w:pPr>
      <w:r>
        <w:t>Option 2: manifest-based external workflow</w:t>
      </w:r>
    </w:p>
    <w:p>
      <w:pPr/>
      <w:r>
        <w:t>This is useful if the other person’s pipeline runs outside Python or on another machine. In that workflow, you first create a run folder and manifests, then the external system reads the manifest, performs inference, and writes the required predictions file back into the run folder.</w:t>
      </w:r>
    </w:p>
    <w:p>
      <w:pPr>
        <w:pStyle w:val="ListNumber"/>
      </w:pPr>
      <w:r>
        <w:t>Run the tool with the run command and the external stub runner.</w:t>
      </w:r>
    </w:p>
    <w:p>
      <w:pPr>
        <w:pStyle w:val="ListNumber"/>
      </w:pPr>
      <w:r>
        <w:t>Let the tool create the run folder, dataset_selection_records.jsonl, and predictions/external_input_manifest.jsonl.</w:t>
      </w:r>
    </w:p>
    <w:p>
      <w:pPr>
        <w:pStyle w:val="ListNumber"/>
      </w:pPr>
      <w:r>
        <w:t>Have the external system read the manifest and generate predictions for each item.</w:t>
      </w:r>
    </w:p>
    <w:p>
      <w:pPr>
        <w:pStyle w:val="ListNumber"/>
      </w:pPr>
      <w:r>
        <w:t>Write the results into predictions/utterances.jsonl using the required contract.</w:t>
      </w:r>
    </w:p>
    <w:p>
      <w:pPr>
        <w:pStyle w:val="ListNumber"/>
      </w:pPr>
      <w:r>
        <w:t>Run score, then run report.</w:t>
      </w:r>
    </w:p>
    <w:p>
      <w:pPr/>
      <w:r>
        <w:t>This workflow is fine for non-augmented runs. For augmented runs, direct integration is safer because inference_audio_path may refer to temporary audio generated during the run.</w:t>
      </w:r>
    </w:p>
    <w:p>
      <w:pPr>
        <w:pStyle w:val="Heading2"/>
      </w:pPr>
      <w:r>
        <w:t>Exactly which file to edit</w:t>
      </w:r>
    </w:p>
    <w:p>
      <w:pPr/>
      <w:r>
        <w:t>If another engineer is connecting their model to the tool, the main file they should start with is:</w:t>
      </w:r>
    </w:p>
    <w:p>
      <w:pPr>
        <w:pStyle w:val="Small"/>
      </w:pPr>
      <w:r>
        <w:t>Evaluation Tool/app/model_runner/external_stub.py</w:t>
      </w:r>
    </w:p>
    <w:p>
      <w:pPr/>
      <w:r>
        <w:t>They should also read these files before changing anything:</w:t>
      </w:r>
    </w:p>
    <w:p>
      <w:pPr>
        <w:pStyle w:val="ListBullet"/>
      </w:pPr>
      <w:r>
        <w:t>Evaluation Tool/app/model_runner/base.py for the runner interface</w:t>
      </w:r>
    </w:p>
    <w:p>
      <w:pPr>
        <w:pStyle w:val="ListBullet"/>
      </w:pPr>
      <w:r>
        <w:t>Evaluation Tool/app/prediction_io/schema.py for the prediction schema</w:t>
      </w:r>
    </w:p>
    <w:p>
      <w:pPr>
        <w:pStyle w:val="ListBullet"/>
      </w:pPr>
      <w:r>
        <w:t>Evaluation Tool/README or the generated user guide for the run flow and output structure</w:t>
      </w:r>
    </w:p>
    <w:p>
      <w:pPr>
        <w:pStyle w:val="ListBullet"/>
      </w:pPr>
      <w:r>
        <w:t>The dataset-specific normalized README files in Normalized Metadata/ if they are integrating AMI, VOiCES, or CHiME-6</w:t>
      </w:r>
    </w:p>
    <w:p>
      <w:pPr>
        <w:pStyle w:val="Heading2"/>
      </w:pPr>
      <w:r>
        <w:t>Minimum prediction contract in plain language</w:t>
      </w:r>
    </w:p>
    <w:p>
      <w:pPr/>
      <w:r>
        <w:t>The tool needs one JSON object per predicted evaluation item. At minimum, each row must say: which item this prediction belongs to, what the predicted transcript is, and what the timing bounds are.</w:t>
      </w:r>
    </w:p>
    <w:p>
      <w:pPr>
        <w:pStyle w:val="Small"/>
      </w:pPr>
      <w:r>
        <w:t>{</w:t>
        <w:br/>
        <w:t xml:space="preserve">  "recording_id": "string",</w:t>
        <w:br/>
        <w:t xml:space="preserve">  "utt_id": "string",</w:t>
        <w:br/>
        <w:t xml:space="preserve">  "start_sec": 0.0,</w:t>
        <w:br/>
        <w:t xml:space="preserve">  "end_sec": 1.23,</w:t>
        <w:br/>
        <w:t xml:space="preserve">  "speaker_label": "speaker-or-null",</w:t>
        <w:br/>
        <w:t xml:space="preserve">  "text": "predicted transcript"</w:t>
        <w:br/>
        <w:t>}</w:t>
      </w:r>
    </w:p>
    <w:p>
      <w:pPr/>
      <w:r>
        <w:t>If the external system does not produce speaker labels, speaker_label can be null. WER scoring will still run. Speaker-label accuracy just will not be meaningful for that item.</w:t>
      </w:r>
    </w:p>
    <w:p>
      <w:pPr>
        <w:pStyle w:val="Heading2"/>
      </w:pPr>
      <w:r>
        <w:t>Integration sequence for a real engineer</w:t>
      </w:r>
    </w:p>
    <w:p>
      <w:pPr>
        <w:pStyle w:val="ListNumber"/>
      </w:pPr>
      <w:r>
        <w:t>Start with CMU Arctic because it is the simplest one-file to one-transcript dataset.</w:t>
      </w:r>
    </w:p>
    <w:p>
      <w:pPr>
        <w:pStyle w:val="ListNumber"/>
      </w:pPr>
      <w:r>
        <w:t>Run a tiny full simulation first to prove the tool itself works before changing any inference code.</w:t>
      </w:r>
    </w:p>
    <w:p>
      <w:pPr>
        <w:pStyle w:val="ListNumber"/>
      </w:pPr>
      <w:r>
        <w:t>Replace ExternalStubRunner.predict_one() with a real call into the other person’s inference function.</w:t>
      </w:r>
    </w:p>
    <w:p>
      <w:pPr>
        <w:pStyle w:val="ListNumber"/>
      </w:pPr>
      <w:r>
        <w:t>Make that function read record['inference_audio_path'].</w:t>
      </w:r>
    </w:p>
    <w:p>
      <w:pPr>
        <w:pStyle w:val="ListNumber"/>
      </w:pPr>
      <w:r>
        <w:t>Make sure the function returns the same recording_id and utt_id values that came in.</w:t>
      </w:r>
    </w:p>
    <w:p>
      <w:pPr>
        <w:pStyle w:val="ListNumber"/>
      </w:pPr>
      <w:r>
        <w:t>Run a tiny full test on CMU Arctic using the real runner.</w:t>
      </w:r>
    </w:p>
    <w:p>
      <w:pPr>
        <w:pStyle w:val="ListNumber"/>
      </w:pPr>
      <w:r>
        <w:t>Inspect predictions/utterances.jsonl, metrics/aggregate_metrics.json, metrics/per_recording_metrics.csv, and report/report.md.</w:t>
      </w:r>
    </w:p>
    <w:p>
      <w:pPr>
        <w:pStyle w:val="ListNumber"/>
      </w:pPr>
      <w:r>
        <w:t>Only after that should you move to LibriSpeech and HiFiTTS.</w:t>
      </w:r>
    </w:p>
    <w:p>
      <w:pPr>
        <w:pStyle w:val="ListNumber"/>
      </w:pPr>
      <w:r>
        <w:t>Then test AMI, VOiCES, and CHiME-6 with small filtered subsets because those datasets introduce streams, sessions, or more complex grouping.</w:t>
      </w:r>
    </w:p>
    <w:p>
      <w:pPr>
        <w:pStyle w:val="Heading2"/>
      </w:pPr>
      <w:r>
        <w:t>Recommended Codex prompt for connecting another person’s inference code</w:t>
      </w:r>
    </w:p>
    <w:p>
      <w:pPr/>
      <w:r>
        <w:t>If you want Codex to help wire in another engineer’s model, a good framing prompt is:</w:t>
      </w:r>
    </w:p>
    <w:p>
      <w:pPr>
        <w:pStyle w:val="Small"/>
      </w:pPr>
      <w:r>
        <w:t>Open Evaluation Tool/app/model_runner/external_stub.py and replace the stub prediction logic with a call into our real inference pipeline. Use record["inference_audio_path"] as the audio input. Preserve the Evaluation Tool IDs by returning recording_id and utt_id exactly as provided. If the dataset is AMI or CHiME-6, also use start_sec and end_sec to crop or align the evaluated segment. Write predictions in the existing utterances.jsonl contract and do not change the rest of the scoring, plotting, or reporting pipeline.</w:t>
      </w:r>
    </w:p>
    <w:p>
      <w:pPr>
        <w:pStyle w:val="Heading2"/>
      </w:pPr>
      <w:r>
        <w:t>Common integration mistakes to avoid</w:t>
      </w:r>
    </w:p>
    <w:p>
      <w:pPr>
        <w:pStyle w:val="ListBullet"/>
      </w:pPr>
      <w:r>
        <w:t>Using source_recording_id instead of recording_id for the returned prediction key</w:t>
      </w:r>
    </w:p>
    <w:p>
      <w:pPr>
        <w:pStyle w:val="ListBullet"/>
      </w:pPr>
      <w:r>
        <w:t>Dropping utt_id for segment-style datasets</w:t>
      </w:r>
    </w:p>
    <w:p>
      <w:pPr>
        <w:pStyle w:val="ListBullet"/>
      </w:pPr>
      <w:r>
        <w:t>Reading audio from the raw source path instead of inference_audio_path during augmented runs</w:t>
      </w:r>
    </w:p>
    <w:p>
      <w:pPr>
        <w:pStyle w:val="ListBullet"/>
      </w:pPr>
      <w:r>
        <w:t>Returning prediction text but forgetting start_sec and end_sec</w:t>
      </w:r>
    </w:p>
    <w:p>
      <w:pPr>
        <w:pStyle w:val="ListBullet"/>
      </w:pPr>
      <w:r>
        <w:t>Writing predictions for items that were not actually selected in dataset_selection_records.jsonl</w:t>
      </w:r>
    </w:p>
    <w:p>
      <w:pPr>
        <w:pStyle w:val="ListBullet"/>
      </w:pPr>
      <w:r>
        <w:t>Trying to use manifest-based external inference for temporary augmented files without preserving the actual inference audio path</w:t>
      </w:r>
    </w:p>
    <w:p>
      <w:pPr>
        <w:pStyle w:val="Heading1"/>
      </w:pPr>
      <w:r>
        <w:t>What gets saved in a run folder</w:t>
      </w:r>
    </w:p>
    <w:tbl>
      <w:tblPr>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pPr>
            <w:r/>
            <w:r>
              <w:rPr>
                <w:b/>
                <w:color w:val="1F4E79"/>
                <w:sz w:val="19"/>
              </w:rPr>
              <w:t>Path</w:t>
            </w:r>
          </w:p>
        </w:tc>
        <w:tc>
          <w:tcPr>
            <w:tcW w:type="dxa" w:w="4968"/>
            <w:shd w:fill="D9EAF7"/>
            <w:vAlign w:val="center"/>
          </w:tcPr>
          <w:p>
            <w:pPr>
              <w:spacing w:after="0"/>
            </w:pPr>
            <w:r/>
            <w:r>
              <w:rPr>
                <w:b/>
                <w:color w:val="1F4E79"/>
                <w:sz w:val="19"/>
              </w:rPr>
              <w:t>What it contains</w:t>
            </w:r>
          </w:p>
        </w:tc>
      </w:tr>
      <w:tr>
        <w:tc>
          <w:tcPr>
            <w:tcW w:type="dxa" w:w="4968"/>
            <w:vAlign w:val="center"/>
          </w:tcPr>
          <w:p>
            <w:pPr>
              <w:spacing w:after="0"/>
            </w:pPr>
            <w:r/>
            <w:r>
              <w:rPr>
                <w:b/>
                <w:sz w:val="19"/>
              </w:rPr>
              <w:t>run_config.yaml</w:t>
            </w:r>
          </w:p>
        </w:tc>
        <w:tc>
          <w:tcPr>
            <w:tcW w:type="dxa" w:w="4968"/>
            <w:vAlign w:val="center"/>
          </w:tcPr>
          <w:p>
            <w:pPr>
              <w:spacing w:after="0"/>
            </w:pPr>
            <w:r/>
            <w:r>
              <w:rPr>
                <w:b w:val="0"/>
                <w:sz w:val="19"/>
              </w:rPr>
              <w:t>The saved run configuration.</w:t>
            </w:r>
          </w:p>
        </w:tc>
      </w:tr>
      <w:tr>
        <w:tc>
          <w:tcPr>
            <w:tcW w:type="dxa" w:w="4968"/>
            <w:vAlign w:val="center"/>
          </w:tcPr>
          <w:p>
            <w:pPr>
              <w:spacing w:after="0"/>
            </w:pPr>
            <w:r/>
            <w:r>
              <w:rPr>
                <w:b/>
                <w:sz w:val="19"/>
              </w:rPr>
              <w:t>dataset_selection.json</w:t>
            </w:r>
          </w:p>
        </w:tc>
        <w:tc>
          <w:tcPr>
            <w:tcW w:type="dxa" w:w="4968"/>
            <w:vAlign w:val="center"/>
          </w:tcPr>
          <w:p>
            <w:pPr>
              <w:spacing w:after="0"/>
            </w:pPr>
            <w:r/>
            <w:r>
              <w:rPr>
                <w:b w:val="0"/>
                <w:sz w:val="19"/>
              </w:rPr>
              <w:t>Summary of the selected dataset rows and filters.</w:t>
            </w:r>
          </w:p>
        </w:tc>
      </w:tr>
      <w:tr>
        <w:tc>
          <w:tcPr>
            <w:tcW w:type="dxa" w:w="4968"/>
            <w:vAlign w:val="center"/>
          </w:tcPr>
          <w:p>
            <w:pPr>
              <w:spacing w:after="0"/>
            </w:pPr>
            <w:r/>
            <w:r>
              <w:rPr>
                <w:b/>
                <w:sz w:val="19"/>
              </w:rPr>
              <w:t>dataset_selection_source_records.jsonl</w:t>
            </w:r>
          </w:p>
        </w:tc>
        <w:tc>
          <w:tcPr>
            <w:tcW w:type="dxa" w:w="4968"/>
            <w:vAlign w:val="center"/>
          </w:tcPr>
          <w:p>
            <w:pPr>
              <w:spacing w:after="0"/>
            </w:pPr>
            <w:r/>
            <w:r>
              <w:rPr>
                <w:b w:val="0"/>
                <w:sz w:val="19"/>
              </w:rPr>
              <w:t>Source rows before augmentation expansion.</w:t>
            </w:r>
          </w:p>
        </w:tc>
      </w:tr>
      <w:tr>
        <w:tc>
          <w:tcPr>
            <w:tcW w:type="dxa" w:w="4968"/>
            <w:vAlign w:val="center"/>
          </w:tcPr>
          <w:p>
            <w:pPr>
              <w:spacing w:after="0"/>
            </w:pPr>
            <w:r/>
            <w:r>
              <w:rPr>
                <w:b/>
                <w:sz w:val="19"/>
              </w:rPr>
              <w:t>dataset_selection_records.jsonl</w:t>
            </w:r>
          </w:p>
        </w:tc>
        <w:tc>
          <w:tcPr>
            <w:tcW w:type="dxa" w:w="4968"/>
            <w:vAlign w:val="center"/>
          </w:tcPr>
          <w:p>
            <w:pPr>
              <w:spacing w:after="0"/>
            </w:pPr>
            <w:r/>
            <w:r>
              <w:rPr>
                <w:b w:val="0"/>
                <w:sz w:val="19"/>
              </w:rPr>
              <w:t>Actual evaluation items used in the run.</w:t>
            </w:r>
          </w:p>
        </w:tc>
      </w:tr>
      <w:tr>
        <w:tc>
          <w:tcPr>
            <w:tcW w:type="dxa" w:w="4968"/>
            <w:vAlign w:val="center"/>
          </w:tcPr>
          <w:p>
            <w:pPr>
              <w:spacing w:after="0"/>
            </w:pPr>
            <w:r/>
            <w:r>
              <w:rPr>
                <w:b/>
                <w:sz w:val="19"/>
              </w:rPr>
              <w:t>predictions/utterances.jsonl</w:t>
            </w:r>
          </w:p>
        </w:tc>
        <w:tc>
          <w:tcPr>
            <w:tcW w:type="dxa" w:w="4968"/>
            <w:vAlign w:val="center"/>
          </w:tcPr>
          <w:p>
            <w:pPr>
              <w:spacing w:after="0"/>
            </w:pPr>
            <w:r/>
            <w:r>
              <w:rPr>
                <w:b w:val="0"/>
                <w:sz w:val="19"/>
              </w:rPr>
              <w:t>Prediction output used by the scorer.</w:t>
            </w:r>
          </w:p>
        </w:tc>
      </w:tr>
      <w:tr>
        <w:tc>
          <w:tcPr>
            <w:tcW w:type="dxa" w:w="4968"/>
            <w:vAlign w:val="center"/>
          </w:tcPr>
          <w:p>
            <w:pPr>
              <w:spacing w:after="0"/>
            </w:pPr>
            <w:r/>
            <w:r>
              <w:rPr>
                <w:b/>
                <w:sz w:val="19"/>
              </w:rPr>
              <w:t>metrics/aggregate_metrics.json</w:t>
            </w:r>
          </w:p>
        </w:tc>
        <w:tc>
          <w:tcPr>
            <w:tcW w:type="dxa" w:w="4968"/>
            <w:vAlign w:val="center"/>
          </w:tcPr>
          <w:p>
            <w:pPr>
              <w:spacing w:after="0"/>
            </w:pPr>
            <w:r/>
            <w:r>
              <w:rPr>
                <w:b w:val="0"/>
                <w:sz w:val="19"/>
              </w:rPr>
              <w:t>Aggregate summary including WER and missing-prediction counts.</w:t>
            </w:r>
          </w:p>
        </w:tc>
      </w:tr>
      <w:tr>
        <w:tc>
          <w:tcPr>
            <w:tcW w:type="dxa" w:w="4968"/>
            <w:vAlign w:val="center"/>
          </w:tcPr>
          <w:p>
            <w:pPr>
              <w:spacing w:after="0"/>
            </w:pPr>
            <w:r/>
            <w:r>
              <w:rPr>
                <w:b/>
                <w:sz w:val="19"/>
              </w:rPr>
              <w:t>metrics/per_recording_metrics.csv</w:t>
            </w:r>
          </w:p>
        </w:tc>
        <w:tc>
          <w:tcPr>
            <w:tcW w:type="dxa" w:w="4968"/>
            <w:vAlign w:val="center"/>
          </w:tcPr>
          <w:p>
            <w:pPr>
              <w:spacing w:after="0"/>
            </w:pPr>
            <w:r/>
            <w:r>
              <w:rPr>
                <w:b w:val="0"/>
                <w:sz w:val="19"/>
              </w:rPr>
              <w:t>One row per scored evaluation item.</w:t>
            </w:r>
          </w:p>
        </w:tc>
      </w:tr>
      <w:tr>
        <w:tc>
          <w:tcPr>
            <w:tcW w:type="dxa" w:w="4968"/>
            <w:vAlign w:val="center"/>
          </w:tcPr>
          <w:p>
            <w:pPr>
              <w:spacing w:after="0"/>
            </w:pPr>
            <w:r/>
            <w:r>
              <w:rPr>
                <w:b/>
                <w:sz w:val="19"/>
              </w:rPr>
              <w:t>metrics/*_metrics.csv</w:t>
            </w:r>
          </w:p>
        </w:tc>
        <w:tc>
          <w:tcPr>
            <w:tcW w:type="dxa" w:w="4968"/>
            <w:vAlign w:val="center"/>
          </w:tcPr>
          <w:p>
            <w:pPr>
              <w:spacing w:after="0"/>
            </w:pPr>
            <w:r/>
            <w:r>
              <w:rPr>
                <w:b w:val="0"/>
                <w:sz w:val="19"/>
              </w:rPr>
              <w:t>Grouped summaries such as gender, split, room, stream type, or augmentation condition.</w:t>
            </w:r>
          </w:p>
        </w:tc>
      </w:tr>
      <w:tr>
        <w:tc>
          <w:tcPr>
            <w:tcW w:type="dxa" w:w="4968"/>
            <w:vAlign w:val="center"/>
          </w:tcPr>
          <w:p>
            <w:pPr>
              <w:spacing w:after="0"/>
            </w:pPr>
            <w:r/>
            <w:r>
              <w:rPr>
                <w:b/>
                <w:sz w:val="19"/>
              </w:rPr>
              <w:t>plots/</w:t>
            </w:r>
          </w:p>
        </w:tc>
        <w:tc>
          <w:tcPr>
            <w:tcW w:type="dxa" w:w="4968"/>
            <w:vAlign w:val="center"/>
          </w:tcPr>
          <w:p>
            <w:pPr>
              <w:spacing w:after="0"/>
            </w:pPr>
            <w:r/>
            <w:r>
              <w:rPr>
                <w:b w:val="0"/>
                <w:sz w:val="19"/>
              </w:rPr>
              <w:t>Histograms, grouped summaries, and worst-case plots.</w:t>
            </w:r>
          </w:p>
        </w:tc>
      </w:tr>
      <w:tr>
        <w:tc>
          <w:tcPr>
            <w:tcW w:type="dxa" w:w="4968"/>
            <w:vAlign w:val="center"/>
          </w:tcPr>
          <w:p>
            <w:pPr>
              <w:spacing w:after="0"/>
            </w:pPr>
            <w:r/>
            <w:r>
              <w:rPr>
                <w:b/>
                <w:sz w:val="19"/>
              </w:rPr>
              <w:t>logs/evaluation.log</w:t>
            </w:r>
          </w:p>
        </w:tc>
        <w:tc>
          <w:tcPr>
            <w:tcW w:type="dxa" w:w="4968"/>
            <w:vAlign w:val="center"/>
          </w:tcPr>
          <w:p>
            <w:pPr>
              <w:spacing w:after="0"/>
            </w:pPr>
            <w:r/>
            <w:r>
              <w:rPr>
                <w:b w:val="0"/>
                <w:sz w:val="19"/>
              </w:rPr>
              <w:t>Run-specific execution log.</w:t>
            </w:r>
          </w:p>
        </w:tc>
      </w:tr>
      <w:tr>
        <w:tc>
          <w:tcPr>
            <w:tcW w:type="dxa" w:w="4968"/>
            <w:vAlign w:val="center"/>
          </w:tcPr>
          <w:p>
            <w:pPr>
              <w:spacing w:after="0"/>
            </w:pPr>
            <w:r/>
            <w:r>
              <w:rPr>
                <w:b/>
                <w:sz w:val="19"/>
              </w:rPr>
              <w:t>report/report.md</w:t>
            </w:r>
          </w:p>
        </w:tc>
        <w:tc>
          <w:tcPr>
            <w:tcW w:type="dxa" w:w="4968"/>
            <w:vAlign w:val="center"/>
          </w:tcPr>
          <w:p>
            <w:pPr>
              <w:spacing w:after="0"/>
            </w:pPr>
            <w:r/>
            <w:r>
              <w:rPr>
                <w:b w:val="0"/>
                <w:sz w:val="19"/>
              </w:rPr>
              <w:t>Human-readable report.</w:t>
            </w:r>
          </w:p>
        </w:tc>
      </w:tr>
      <w:tr>
        <w:tc>
          <w:tcPr>
            <w:tcW w:type="dxa" w:w="4968"/>
            <w:vAlign w:val="center"/>
          </w:tcPr>
          <w:p>
            <w:pPr>
              <w:spacing w:after="0"/>
            </w:pPr>
            <w:r/>
            <w:r>
              <w:rPr>
                <w:b/>
                <w:sz w:val="19"/>
              </w:rPr>
              <w:t>preview_audio/</w:t>
            </w:r>
          </w:p>
        </w:tc>
        <w:tc>
          <w:tcPr>
            <w:tcW w:type="dxa" w:w="4968"/>
            <w:vAlign w:val="center"/>
          </w:tcPr>
          <w:p>
            <w:pPr>
              <w:spacing w:after="0"/>
            </w:pPr>
            <w:r/>
            <w:r>
              <w:rPr>
                <w:b w:val="0"/>
                <w:sz w:val="19"/>
              </w:rPr>
              <w:t>Saved preview WAVs when preview is requested.</w:t>
            </w:r>
          </w:p>
        </w:tc>
      </w:tr>
    </w:tbl>
    <w:p>
      <w:pPr>
        <w:pStyle w:val="Heading1"/>
      </w:pPr>
      <w:r>
        <w:t>Metrics you will see</w:t>
      </w:r>
    </w:p>
    <w:p>
      <w:pPr>
        <w:pStyle w:val="ListBullet"/>
      </w:pPr>
      <w:r>
        <w:t>WER (word error rate)</w:t>
      </w:r>
    </w:p>
    <w:p>
      <w:pPr>
        <w:pStyle w:val="ListBullet"/>
      </w:pPr>
      <w:r>
        <w:t>Substitutions</w:t>
      </w:r>
    </w:p>
    <w:p>
      <w:pPr>
        <w:pStyle w:val="ListBullet"/>
      </w:pPr>
      <w:r>
        <w:t>Insertions</w:t>
      </w:r>
    </w:p>
    <w:p>
      <w:pPr>
        <w:pStyle w:val="ListBullet"/>
      </w:pPr>
      <w:r>
        <w:t>Deletions</w:t>
      </w:r>
    </w:p>
    <w:p>
      <w:pPr>
        <w:pStyle w:val="ListBullet"/>
      </w:pPr>
      <w:r>
        <w:t>Missing prediction count and rate</w:t>
      </w:r>
    </w:p>
    <w:p>
      <w:pPr>
        <w:pStyle w:val="ListBullet"/>
      </w:pPr>
      <w:r>
        <w:t>Speaker label accuracy when speaker labels are available</w:t>
      </w:r>
    </w:p>
    <w:p>
      <w:r>
        <w:t>Grouped outputs are also saved whenever the dataset contains relevant metadata. Common examples include gender, split, room, distractor, stream type, session, accent, reader_split, and augmentation condition.</w:t>
      </w:r>
    </w:p>
    <w:p>
      <w:pPr>
        <w:pStyle w:val="Heading1"/>
      </w:pPr>
      <w:r>
        <w:t>Datasets at a glance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pPr>
              <w:spacing w:after="0"/>
            </w:pPr>
            <w:r/>
            <w:r>
              <w:rPr>
                <w:b/>
                <w:color w:val="1F4E79"/>
                <w:sz w:val="19"/>
              </w:rPr>
              <w:t>Dataset</w:t>
            </w:r>
          </w:p>
        </w:tc>
        <w:tc>
          <w:tcPr>
            <w:tcW w:type="dxa" w:w="2484"/>
            <w:shd w:fill="D9EAF7"/>
            <w:vAlign w:val="center"/>
          </w:tcPr>
          <w:p>
            <w:pPr>
              <w:spacing w:after="0"/>
            </w:pPr>
            <w:r/>
            <w:r>
              <w:rPr>
                <w:b/>
                <w:color w:val="1F4E79"/>
                <w:sz w:val="19"/>
              </w:rPr>
              <w:t>Type</w:t>
            </w:r>
          </w:p>
        </w:tc>
        <w:tc>
          <w:tcPr>
            <w:tcW w:type="dxa" w:w="2484"/>
            <w:shd w:fill="D9EAF7"/>
            <w:vAlign w:val="center"/>
          </w:tcPr>
          <w:p>
            <w:pPr>
              <w:spacing w:after="0"/>
            </w:pPr>
            <w:r/>
            <w:r>
              <w:rPr>
                <w:b/>
                <w:color w:val="1F4E79"/>
                <w:sz w:val="19"/>
              </w:rPr>
              <w:t>Best use</w:t>
            </w:r>
          </w:p>
        </w:tc>
        <w:tc>
          <w:tcPr>
            <w:tcW w:type="dxa" w:w="2484"/>
            <w:shd w:fill="D9EAF7"/>
            <w:vAlign w:val="center"/>
          </w:tcPr>
          <w:p>
            <w:pPr>
              <w:spacing w:after="0"/>
            </w:pPr>
            <w:r/>
            <w:r>
              <w:rPr>
                <w:b/>
                <w:color w:val="1F4E79"/>
                <w:sz w:val="19"/>
              </w:rPr>
              <w:t>Augmentation</w:t>
            </w:r>
          </w:p>
        </w:tc>
      </w:tr>
      <w:tr>
        <w:tc>
          <w:tcPr>
            <w:tcW w:type="dxa" w:w="2484"/>
            <w:vAlign w:val="center"/>
          </w:tcPr>
          <w:p>
            <w:pPr>
              <w:spacing w:after="0"/>
            </w:pPr>
            <w:r/>
            <w:r>
              <w:rPr>
                <w:b w:val="0"/>
                <w:sz w:val="19"/>
              </w:rPr>
              <w:t>CMU Arctic</w:t>
            </w:r>
          </w:p>
        </w:tc>
        <w:tc>
          <w:tcPr>
            <w:tcW w:type="dxa" w:w="2484"/>
            <w:vAlign w:val="center"/>
          </w:tcPr>
          <w:p>
            <w:pPr>
              <w:spacing w:after="0"/>
            </w:pPr>
            <w:r/>
            <w:r>
              <w:rPr>
                <w:b w:val="0"/>
                <w:sz w:val="19"/>
              </w:rPr>
              <w:t>Clean single-speaker</w:t>
            </w:r>
          </w:p>
        </w:tc>
        <w:tc>
          <w:tcPr>
            <w:tcW w:type="dxa" w:w="2484"/>
            <w:vAlign w:val="center"/>
          </w:tcPr>
          <w:p>
            <w:pPr>
              <w:spacing w:after="0"/>
            </w:pPr>
            <w:r/>
            <w:r>
              <w:rPr>
                <w:b w:val="0"/>
                <w:sz w:val="19"/>
              </w:rPr>
              <w:t>Baseline ASR checks, accent and gender slicing, synthetic robustness tests</w:t>
            </w:r>
          </w:p>
        </w:tc>
        <w:tc>
          <w:tcPr>
            <w:tcW w:type="dxa" w:w="2484"/>
            <w:vAlign w:val="center"/>
          </w:tcPr>
          <w:p>
            <w:pPr>
              <w:spacing w:after="0"/>
            </w:pPr>
            <w:r/>
            <w:r>
              <w:rPr>
                <w:b w:val="0"/>
                <w:sz w:val="19"/>
              </w:rPr>
              <w:t>Yes</w:t>
            </w:r>
          </w:p>
        </w:tc>
      </w:tr>
      <w:tr>
        <w:tc>
          <w:tcPr>
            <w:tcW w:type="dxa" w:w="2484"/>
            <w:vAlign w:val="center"/>
          </w:tcPr>
          <w:p>
            <w:pPr>
              <w:spacing w:after="0"/>
            </w:pPr>
            <w:r/>
            <w:r>
              <w:rPr>
                <w:b w:val="0"/>
                <w:sz w:val="19"/>
              </w:rPr>
              <w:t>LibriSpeech</w:t>
            </w:r>
          </w:p>
        </w:tc>
        <w:tc>
          <w:tcPr>
            <w:tcW w:type="dxa" w:w="2484"/>
            <w:vAlign w:val="center"/>
          </w:tcPr>
          <w:p>
            <w:pPr>
              <w:spacing w:after="0"/>
            </w:pPr>
            <w:r/>
            <w:r>
              <w:rPr>
                <w:b w:val="0"/>
                <w:sz w:val="19"/>
              </w:rPr>
              <w:t>Clean single-speaker audiobook</w:t>
            </w:r>
          </w:p>
        </w:tc>
        <w:tc>
          <w:tcPr>
            <w:tcW w:type="dxa" w:w="2484"/>
            <w:vAlign w:val="center"/>
          </w:tcPr>
          <w:p>
            <w:pPr>
              <w:spacing w:after="0"/>
            </w:pPr>
            <w:r/>
            <w:r>
              <w:rPr>
                <w:b w:val="0"/>
                <w:sz w:val="19"/>
              </w:rPr>
              <w:t>Standard split-based ASR benchmarking and synthetic robustness tests</w:t>
            </w:r>
          </w:p>
        </w:tc>
        <w:tc>
          <w:tcPr>
            <w:tcW w:type="dxa" w:w="2484"/>
            <w:vAlign w:val="center"/>
          </w:tcPr>
          <w:p>
            <w:pPr>
              <w:spacing w:after="0"/>
            </w:pPr>
            <w:r/>
            <w:r>
              <w:rPr>
                <w:b w:val="0"/>
                <w:sz w:val="19"/>
              </w:rPr>
              <w:t>Yes</w:t>
            </w:r>
          </w:p>
        </w:tc>
      </w:tr>
      <w:tr>
        <w:tc>
          <w:tcPr>
            <w:tcW w:type="dxa" w:w="2484"/>
            <w:vAlign w:val="center"/>
          </w:tcPr>
          <w:p>
            <w:pPr>
              <w:spacing w:after="0"/>
            </w:pPr>
            <w:r/>
            <w:r>
              <w:rPr>
                <w:b w:val="0"/>
                <w:sz w:val="19"/>
              </w:rPr>
              <w:t>HiFiTTS</w:t>
            </w:r>
          </w:p>
        </w:tc>
        <w:tc>
          <w:tcPr>
            <w:tcW w:type="dxa" w:w="2484"/>
            <w:vAlign w:val="center"/>
          </w:tcPr>
          <w:p>
            <w:pPr>
              <w:spacing w:after="0"/>
            </w:pPr>
            <w:r/>
            <w:r>
              <w:rPr>
                <w:b w:val="0"/>
                <w:sz w:val="19"/>
              </w:rPr>
              <w:t>Single-speaker audiobook-style</w:t>
            </w:r>
          </w:p>
        </w:tc>
        <w:tc>
          <w:tcPr>
            <w:tcW w:type="dxa" w:w="2484"/>
            <w:vAlign w:val="center"/>
          </w:tcPr>
          <w:p>
            <w:pPr>
              <w:spacing w:after="0"/>
            </w:pPr>
            <w:r/>
            <w:r>
              <w:rPr>
                <w:b w:val="0"/>
                <w:sz w:val="19"/>
              </w:rPr>
              <w:t>Reader/book/quality slicing and synthetic robustness tests</w:t>
            </w:r>
          </w:p>
        </w:tc>
        <w:tc>
          <w:tcPr>
            <w:tcW w:type="dxa" w:w="2484"/>
            <w:vAlign w:val="center"/>
          </w:tcPr>
          <w:p>
            <w:pPr>
              <w:spacing w:after="0"/>
            </w:pPr>
            <w:r/>
            <w:r>
              <w:rPr>
                <w:b w:val="0"/>
                <w:sz w:val="19"/>
              </w:rPr>
              <w:t>Yes</w:t>
            </w:r>
          </w:p>
        </w:tc>
      </w:tr>
      <w:tr>
        <w:tc>
          <w:tcPr>
            <w:tcW w:type="dxa" w:w="2484"/>
            <w:vAlign w:val="center"/>
          </w:tcPr>
          <w:p>
            <w:pPr>
              <w:spacing w:after="0"/>
            </w:pPr>
            <w:r/>
            <w:r>
              <w:rPr>
                <w:b w:val="0"/>
                <w:sz w:val="19"/>
              </w:rPr>
              <w:t>AMI</w:t>
            </w:r>
          </w:p>
        </w:tc>
        <w:tc>
          <w:tcPr>
            <w:tcW w:type="dxa" w:w="2484"/>
            <w:vAlign w:val="center"/>
          </w:tcPr>
          <w:p>
            <w:pPr>
              <w:spacing w:after="0"/>
            </w:pPr>
            <w:r/>
            <w:r>
              <w:rPr>
                <w:b w:val="0"/>
                <w:sz w:val="19"/>
              </w:rPr>
              <w:t>Meeting corpus</w:t>
            </w:r>
          </w:p>
        </w:tc>
        <w:tc>
          <w:tcPr>
            <w:tcW w:type="dxa" w:w="2484"/>
            <w:vAlign w:val="center"/>
          </w:tcPr>
          <w:p>
            <w:pPr>
              <w:spacing w:after="0"/>
            </w:pPr>
            <w:r/>
            <w:r>
              <w:rPr>
                <w:b w:val="0"/>
                <w:sz w:val="19"/>
              </w:rPr>
              <w:t>Speaker-attributed meeting transcription and headset vs array analysis</w:t>
            </w:r>
          </w:p>
        </w:tc>
        <w:tc>
          <w:tcPr>
            <w:tcW w:type="dxa" w:w="2484"/>
            <w:vAlign w:val="center"/>
          </w:tcPr>
          <w:p>
            <w:pPr>
              <w:spacing w:after="0"/>
            </w:pPr>
            <w:r/>
            <w:r>
              <w:rPr>
                <w:b w:val="0"/>
                <w:sz w:val="19"/>
              </w:rPr>
              <w:t>No</w:t>
            </w:r>
          </w:p>
        </w:tc>
      </w:tr>
      <w:tr>
        <w:tc>
          <w:tcPr>
            <w:tcW w:type="dxa" w:w="2484"/>
            <w:vAlign w:val="center"/>
          </w:tcPr>
          <w:p>
            <w:pPr>
              <w:spacing w:after="0"/>
            </w:pPr>
            <w:r/>
            <w:r>
              <w:rPr>
                <w:b w:val="0"/>
                <w:sz w:val="19"/>
              </w:rPr>
              <w:t>VOiCES</w:t>
            </w:r>
          </w:p>
        </w:tc>
        <w:tc>
          <w:tcPr>
            <w:tcW w:type="dxa" w:w="2484"/>
            <w:vAlign w:val="center"/>
          </w:tcPr>
          <w:p>
            <w:pPr>
              <w:spacing w:after="0"/>
            </w:pPr>
            <w:r/>
            <w:r>
              <w:rPr>
                <w:b w:val="0"/>
                <w:sz w:val="19"/>
              </w:rPr>
              <w:t>Native far-field robustness</w:t>
            </w:r>
          </w:p>
        </w:tc>
        <w:tc>
          <w:tcPr>
            <w:tcW w:type="dxa" w:w="2484"/>
            <w:vAlign w:val="center"/>
          </w:tcPr>
          <w:p>
            <w:pPr>
              <w:spacing w:after="0"/>
            </w:pPr>
            <w:r/>
            <w:r>
              <w:rPr>
                <w:b w:val="0"/>
                <w:sz w:val="19"/>
              </w:rPr>
              <w:t>Room, distractor, microphone, and distance-condition analysis</w:t>
            </w:r>
          </w:p>
        </w:tc>
        <w:tc>
          <w:tcPr>
            <w:tcW w:type="dxa" w:w="2484"/>
            <w:vAlign w:val="center"/>
          </w:tcPr>
          <w:p>
            <w:pPr>
              <w:spacing w:after="0"/>
            </w:pPr>
            <w:r/>
            <w:r>
              <w:rPr>
                <w:b w:val="0"/>
                <w:sz w:val="19"/>
              </w:rPr>
              <w:t>No</w:t>
            </w:r>
          </w:p>
        </w:tc>
      </w:tr>
      <w:tr>
        <w:tc>
          <w:tcPr>
            <w:tcW w:type="dxa" w:w="2484"/>
            <w:vAlign w:val="center"/>
          </w:tcPr>
          <w:p>
            <w:pPr>
              <w:spacing w:after="0"/>
            </w:pPr>
            <w:r/>
            <w:r>
              <w:rPr>
                <w:b w:val="0"/>
                <w:sz w:val="19"/>
              </w:rPr>
              <w:t>CHiME-6</w:t>
            </w:r>
          </w:p>
        </w:tc>
        <w:tc>
          <w:tcPr>
            <w:tcW w:type="dxa" w:w="2484"/>
            <w:vAlign w:val="center"/>
          </w:tcPr>
          <w:p>
            <w:pPr>
              <w:spacing w:after="0"/>
            </w:pPr>
            <w:r/>
            <w:r>
              <w:rPr>
                <w:b w:val="0"/>
                <w:sz w:val="19"/>
              </w:rPr>
              <w:t>Conversational far-field</w:t>
            </w:r>
          </w:p>
        </w:tc>
        <w:tc>
          <w:tcPr>
            <w:tcW w:type="dxa" w:w="2484"/>
            <w:vAlign w:val="center"/>
          </w:tcPr>
          <w:p>
            <w:pPr>
              <w:spacing w:after="0"/>
            </w:pPr>
            <w:r/>
            <w:r>
              <w:rPr>
                <w:b w:val="0"/>
                <w:sz w:val="19"/>
              </w:rPr>
              <w:t>Session/microphone/location conversational evaluation</w:t>
            </w:r>
          </w:p>
        </w:tc>
        <w:tc>
          <w:tcPr>
            <w:tcW w:type="dxa" w:w="2484"/>
            <w:vAlign w:val="center"/>
          </w:tcPr>
          <w:p>
            <w:pPr>
              <w:spacing w:after="0"/>
            </w:pPr>
            <w:r/>
            <w:r>
              <w:rPr>
                <w:b w:val="0"/>
                <w:sz w:val="19"/>
              </w:rPr>
              <w:t>No</w:t>
            </w:r>
          </w:p>
        </w:tc>
      </w:tr>
    </w:tbl>
    <w:p>
      <w:pPr>
        <w:pStyle w:val="Heading2"/>
      </w:pPr>
      <w:r>
        <w:t>Common filters by dataset</w:t>
      </w:r>
    </w:p>
    <w:tbl>
      <w:tblPr>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pPr>
            <w:r/>
            <w:r>
              <w:rPr>
                <w:b/>
                <w:color w:val="1F4E79"/>
                <w:sz w:val="19"/>
              </w:rPr>
              <w:t>Dataset</w:t>
            </w:r>
          </w:p>
        </w:tc>
        <w:tc>
          <w:tcPr>
            <w:tcW w:type="dxa" w:w="4968"/>
            <w:shd w:fill="D9EAF7"/>
            <w:vAlign w:val="center"/>
          </w:tcPr>
          <w:p>
            <w:pPr>
              <w:spacing w:after="0"/>
            </w:pPr>
            <w:r/>
            <w:r>
              <w:rPr>
                <w:b/>
                <w:color w:val="1F4E79"/>
                <w:sz w:val="19"/>
              </w:rPr>
              <w:t>Typical filters</w:t>
            </w:r>
          </w:p>
        </w:tc>
      </w:tr>
      <w:tr>
        <w:tc>
          <w:tcPr>
            <w:tcW w:type="dxa" w:w="4968"/>
            <w:vAlign w:val="center"/>
          </w:tcPr>
          <w:p>
            <w:pPr>
              <w:spacing w:after="0"/>
            </w:pPr>
            <w:r/>
            <w:r>
              <w:rPr>
                <w:b/>
                <w:sz w:val="19"/>
              </w:rPr>
              <w:t>CMU Arctic</w:t>
            </w:r>
          </w:p>
        </w:tc>
        <w:tc>
          <w:tcPr>
            <w:tcW w:type="dxa" w:w="4968"/>
            <w:vAlign w:val="center"/>
          </w:tcPr>
          <w:p>
            <w:pPr>
              <w:spacing w:after="0"/>
            </w:pPr>
            <w:r/>
            <w:r>
              <w:rPr>
                <w:b w:val="0"/>
                <w:sz w:val="19"/>
              </w:rPr>
              <w:t>speaker_id, speaker_code, gender, accent, accent_group, speaker_variant_group</w:t>
            </w:r>
          </w:p>
        </w:tc>
      </w:tr>
      <w:tr>
        <w:tc>
          <w:tcPr>
            <w:tcW w:type="dxa" w:w="4968"/>
            <w:vAlign w:val="center"/>
          </w:tcPr>
          <w:p>
            <w:pPr>
              <w:spacing w:after="0"/>
            </w:pPr>
            <w:r/>
            <w:r>
              <w:rPr>
                <w:b/>
                <w:sz w:val="19"/>
              </w:rPr>
              <w:t>LibriSpeech</w:t>
            </w:r>
          </w:p>
        </w:tc>
        <w:tc>
          <w:tcPr>
            <w:tcW w:type="dxa" w:w="4968"/>
            <w:vAlign w:val="center"/>
          </w:tcPr>
          <w:p>
            <w:pPr>
              <w:spacing w:after="0"/>
            </w:pPr>
            <w:r/>
            <w:r>
              <w:rPr>
                <w:b w:val="0"/>
                <w:sz w:val="19"/>
              </w:rPr>
              <w:t>split, subset_group, speaker_id, chapter_id, book_id, gender</w:t>
            </w:r>
          </w:p>
        </w:tc>
      </w:tr>
      <w:tr>
        <w:tc>
          <w:tcPr>
            <w:tcW w:type="dxa" w:w="4968"/>
            <w:vAlign w:val="center"/>
          </w:tcPr>
          <w:p>
            <w:pPr>
              <w:spacing w:after="0"/>
            </w:pPr>
            <w:r/>
            <w:r>
              <w:rPr>
                <w:b/>
                <w:sz w:val="19"/>
              </w:rPr>
              <w:t>HiFiTTS</w:t>
            </w:r>
          </w:p>
        </w:tc>
        <w:tc>
          <w:tcPr>
            <w:tcW w:type="dxa" w:w="4968"/>
            <w:vAlign w:val="center"/>
          </w:tcPr>
          <w:p>
            <w:pPr>
              <w:spacing w:after="0"/>
            </w:pPr>
            <w:r/>
            <w:r>
              <w:rPr>
                <w:b w:val="0"/>
                <w:sz w:val="19"/>
              </w:rPr>
              <w:t>reader_id, reader_split, split, clean_vs_other, audio_quality, book_id, gender</w:t>
            </w:r>
          </w:p>
        </w:tc>
      </w:tr>
      <w:tr>
        <w:tc>
          <w:tcPr>
            <w:tcW w:type="dxa" w:w="4968"/>
            <w:vAlign w:val="center"/>
          </w:tcPr>
          <w:p>
            <w:pPr>
              <w:spacing w:after="0"/>
            </w:pPr>
            <w:r/>
            <w:r>
              <w:rPr>
                <w:b/>
                <w:sz w:val="19"/>
              </w:rPr>
              <w:t>AMI</w:t>
            </w:r>
          </w:p>
        </w:tc>
        <w:tc>
          <w:tcPr>
            <w:tcW w:type="dxa" w:w="4968"/>
            <w:vAlign w:val="center"/>
          </w:tcPr>
          <w:p>
            <w:pPr>
              <w:spacing w:after="0"/>
            </w:pPr>
            <w:r/>
            <w:r>
              <w:rPr>
                <w:b w:val="0"/>
                <w:sz w:val="19"/>
              </w:rPr>
              <w:t>meeting_id, stream_type, stream_id, meeting_type, visibility, seen_type, speaker_role, gender</w:t>
            </w:r>
          </w:p>
        </w:tc>
      </w:tr>
      <w:tr>
        <w:tc>
          <w:tcPr>
            <w:tcW w:type="dxa" w:w="4968"/>
            <w:vAlign w:val="center"/>
          </w:tcPr>
          <w:p>
            <w:pPr>
              <w:spacing w:after="0"/>
            </w:pPr>
            <w:r/>
            <w:r>
              <w:rPr>
                <w:b/>
                <w:sz w:val="19"/>
              </w:rPr>
              <w:t>VOiCES</w:t>
            </w:r>
          </w:p>
        </w:tc>
        <w:tc>
          <w:tcPr>
            <w:tcW w:type="dxa" w:w="4968"/>
            <w:vAlign w:val="center"/>
          </w:tcPr>
          <w:p>
            <w:pPr>
              <w:spacing w:after="0"/>
            </w:pPr>
            <w:r/>
            <w:r>
              <w:rPr>
                <w:b w:val="0"/>
                <w:sz w:val="19"/>
              </w:rPr>
              <w:t>split, room, distractor, mic, device, position, degrees, gender, distance_foreground_class</w:t>
            </w:r>
          </w:p>
        </w:tc>
      </w:tr>
      <w:tr>
        <w:tc>
          <w:tcPr>
            <w:tcW w:type="dxa" w:w="4968"/>
            <w:vAlign w:val="center"/>
          </w:tcPr>
          <w:p>
            <w:pPr>
              <w:spacing w:after="0"/>
            </w:pPr>
            <w:r/>
            <w:r>
              <w:rPr>
                <w:b/>
                <w:sz w:val="19"/>
              </w:rPr>
              <w:t>CHiME-6</w:t>
            </w:r>
          </w:p>
        </w:tc>
        <w:tc>
          <w:tcPr>
            <w:tcW w:type="dxa" w:w="4968"/>
            <w:vAlign w:val="center"/>
          </w:tcPr>
          <w:p>
            <w:pPr>
              <w:spacing w:after="0"/>
            </w:pPr>
            <w:r/>
            <w:r>
              <w:rPr>
                <w:b w:val="0"/>
                <w:sz w:val="19"/>
              </w:rPr>
              <w:t>split, session_id, stream_type, speaker_id_ref, device_id, channel_id, microphone_id, location</w:t>
            </w:r>
          </w:p>
        </w:tc>
      </w:tr>
    </w:tbl>
    <w:p>
      <w:pPr>
        <w:pStyle w:val="Heading1"/>
      </w:pPr>
      <w:r>
        <w:t>Troubleshooting</w:t>
      </w:r>
    </w:p>
    <w:p>
      <w:pPr>
        <w:pStyle w:val="ListBullet"/>
      </w:pPr>
      <w:r>
        <w:t>If python is not on PATH, activate the correct environment first or use the full interpreter path from Anaconda.</w:t>
      </w:r>
    </w:p>
    <w:p>
      <w:pPr>
        <w:pStyle w:val="ListBullet"/>
      </w:pPr>
      <w:r>
        <w:t>Run commands from inside Evaluation Tool/ unless you explicitly pass --project-root.</w:t>
      </w:r>
    </w:p>
    <w:p>
      <w:pPr>
        <w:pStyle w:val="ListBullet"/>
      </w:pPr>
      <w:r>
        <w:t>If reverb is selected, you must choose at least one RIR.</w:t>
      </w:r>
    </w:p>
    <w:p>
      <w:pPr>
        <w:pStyle w:val="ListBullet"/>
      </w:pPr>
      <w:r>
        <w:t>If noise is selected in the GUI, you must choose at least one noise type and at least one SNR value.</w:t>
      </w:r>
    </w:p>
    <w:p>
      <w:pPr>
        <w:pStyle w:val="ListBullet"/>
      </w:pPr>
      <w:r>
        <w:t>Augmentation is intentionally blocked for AMI, VOiCES, and CHiME-6.</w:t>
      </w:r>
    </w:p>
    <w:p>
      <w:pPr>
        <w:pStyle w:val="ListBullet"/>
      </w:pPr>
      <w:r>
        <w:t>Missing predictions are written to metrics/missing_predictions.csv and should not crash the run.</w:t>
      </w:r>
    </w:p>
    <w:p>
      <w:pPr>
        <w:pStyle w:val="ListBullet"/>
      </w:pPr>
      <w:r>
        <w:t>For external integration, prediction IDs must match exactly on (recording_id, utt_id).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rPr>
      <w:rFonts w:ascii="Aptos" w:hAnsi="Aptos"/>
      <w:sz w:val="18"/>
    </w:rPr>
  </w:style>
  <w:style w:type="paragraph" w:customStyle="1" w:styleId="Callout">
    <w:name w:val="Callout"/>
    <w:basedOn w:val="Normal"/>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