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actions required before either massive campaign</w:t>
      </w:r>
    </w:p>
    <w:p>
      <w:pPr>
        <w:pStyle w:val="Subtitle"/>
      </w:pPr>
      <w:r>
        <w:t>Operational contract • generated from version-controlled Markdown</w:t>
      </w:r>
    </w:p>
    <w:p>
      <w:r>
        <w:t>CPU and CUDA are first-class supported modes. The massive campaign remains blocked by clean-clone, second-machine, and scientific evidence—not by an API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Required action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Exact completion evidence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Blocks massive launch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Amir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Use separate clean CPU and GPU clones at the final commit; materialize each selected campaign with --bind-current-commit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Clean Git status in each clone; each release binding names the checked-out commit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Amir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Create a new clean CPU validation clone and run the CPU real smoke plus complete assignment preflight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CPU machine_a_assignment_preflight.json says READY_TO_LAUNCH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Amir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Run the complete Machine A assignment preflight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machine_a_assignment_preflight.json says READY_TO_LAUNCH, 20/20 scenarios, 12,368 items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Machine B operator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Install the selected core-cpu or core-cuda profile; verify hardware, model, datasets, RIRs, and disk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Matching Machine B profile plus full 21-scenario preflight says READY_TO_LAUNCH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Scientific owner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Run/approve component canary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Accepted canary evidence for the exact selected Whisper Base configuration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Scientific owner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Run/approve small gate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Accepted small-tier report; no hidden missing/failures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Scientific owner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Run/approve standard gate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Accepted standard-tier prerequisite evidence supplied to analysis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Both operators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Confirm assignments do not overlap and release bindings match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Assignment-set validation passes on both clones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Both operators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Close GPU-heavy applications before timed runs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Operator log records a quiescent GPU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Recommended</w:t>
            </w:r>
          </w:p>
        </w:tc>
      </w:tr>
    </w:tbl>
    <w:p>
      <w:pPr>
        <w:pStyle w:val="Heading2"/>
      </w:pPr>
      <w:r>
        <w:t>No credential work is required</w:t>
      </w:r>
    </w:p>
    <w:p>
      <w:r>
        <w:t>The campaign uses Whisper Base only. It does not use pyannote, Picovoice Falcon, hosted APIs, or credential-gated models. Do not create or distribute API keys for this campaign.</w:t>
      </w:r>
    </w:p>
    <w:p>
      <w:pPr>
        <w:pStyle w:val="Heading2"/>
      </w:pPr>
      <w:r>
        <w:t>Select one coherent distributed mode</w:t>
      </w:r>
    </w:p>
    <w:p>
      <w:r>
        <w:t>Both workers may run the CPU campaign, or both may run the CUDA campaign after independent qualification. Do not combine a CPU assignment with CUDA scenarios or a CUDA assignment with CPU execution. A mixed-hardware study requires separately identified CPU and CUDA scenarios and must be analyzed as a hardware/profile comparison—not merged as one homogeneous campaign.</w:t>
      </w:r>
    </w:p>
    <w:p>
      <w:pPr>
        <w:pStyle w:val="Heading2"/>
      </w:pPr>
      <w:r>
        <w:t>Required local assets</w:t>
      </w:r>
    </w:p>
    <w:p>
      <w:pPr>
        <w:pStyle w:val="ListBullet"/>
      </w:pPr>
      <w:r>
        <w:t>models/cache/whisper/base.pt, 145,262,807 bytes, SHA-256 ED3A0B6B1C0EDF879AD9B11B1AF5A0E6AB5DB9205F891F668F8B0E6C6326E34E.</w:t>
      </w:r>
    </w:p>
    <w:p>
      <w:pPr>
        <w:pStyle w:val="ListBullet"/>
      </w:pPr>
      <w:r>
        <w:t>Licensed dataset folders made available locally without committing or copying raw audio into campaign results.</w:t>
      </w:r>
    </w:p>
    <w:p>
      <w:pPr>
        <w:pStyle w:val="ListBullet"/>
      </w:pPr>
      <w:r>
        <w:t>Dining Room RIR h025_Diningroom_8txts.wav, SHA-256 940D761A280DCD8FAAB077074E02BADE649E64E47461D80A4F927A01ABBEF5E2.</w:t>
      </w:r>
    </w:p>
    <w:p>
      <w:pPr>
        <w:pStyle w:val="ListBullet"/>
      </w:pPr>
      <w:r>
        <w:t>Restaurant RIR h093_Restaurant_2txts.wav, SHA-256 C2CA8A07002943409D31A2C6D6D07BA826AA428FE6EF6CECF2C4FF33D7D4A8A8.</w:t>
      </w:r>
    </w:p>
    <w:p>
      <w:pPr>
        <w:pStyle w:val="ListBullet"/>
      </w:pPr>
      <w:r>
        <w:t>FFmpeg on PATH.</w:t>
      </w:r>
    </w:p>
    <w:p>
      <w:r>
        <w:t>Bedroom remains unresolved. It is not part of either 41-scenario executable campaign and must not be replaced.</w:t>
      </w:r>
    </w:p>
    <w:p>
      <w:pPr>
        <w:pStyle w:val="Heading2"/>
      </w:pPr>
      <w:r>
        <w:t>Machine B decision rule</w:t>
      </w:r>
    </w:p>
    <w:p>
      <w:r>
        <w:t>Machine B must run the same result-affecting mode as Machine A. For the CPU campaign that is core-cpu, cpu, float32; for the CUDA campaign it is core-cuda, cuda:0, float32. Both use the Whisper Base hash above and the frozen batch/runtime settings. A different CPU or GPU model is permitted and recorded as environment metadata, but switching CPU/CUDA mode or dtype changes scientific scenario identity and requires the corresponding separately generated scenarios and assignments. Run one GPU-heavy scenario at a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manual_actions_required.md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