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55EE0" w14:textId="1BA4A783" w:rsidR="0086469D" w:rsidRDefault="00000000">
      <w:pPr>
        <w:spacing w:after="40"/>
      </w:pPr>
      <w:r>
        <w:rPr>
          <w:b/>
          <w:sz w:val="28"/>
        </w:rPr>
        <w:t xml:space="preserve">AZIM Midstream Reroute — Cost-Avoidance </w:t>
      </w:r>
      <w:r w:rsidR="0043270E">
        <w:rPr>
          <w:b/>
          <w:sz w:val="28"/>
        </w:rPr>
        <w:t>Estimates</w:t>
      </w:r>
    </w:p>
    <w:p w14:paraId="39B5836E" w14:textId="77777777" w:rsidR="0086469D" w:rsidRDefault="00000000">
      <w:pPr>
        <w:spacing w:after="160"/>
      </w:pPr>
      <w:r>
        <w:rPr>
          <w:i/>
          <w:sz w:val="19"/>
        </w:rPr>
        <w:t>William Zhou (IPEX-</w:t>
      </w:r>
      <w:proofErr w:type="gramStart"/>
      <w:r>
        <w:rPr>
          <w:i/>
          <w:sz w:val="19"/>
        </w:rPr>
        <w:t>ICT) ·</w:t>
      </w:r>
      <w:proofErr w:type="gramEnd"/>
      <w:r>
        <w:rPr>
          <w:i/>
          <w:sz w:val="19"/>
        </w:rPr>
        <w:t xml:space="preserve"> for Parth Sheth + AZIM team · 2026-07-27</w:t>
      </w:r>
    </w:p>
    <w:p w14:paraId="5A06102D" w14:textId="16BB046A" w:rsidR="0086469D" w:rsidRDefault="00000000">
      <w:pPr>
        <w:spacing w:after="160"/>
      </w:pPr>
      <w:r>
        <w:rPr>
          <w:b/>
        </w:rPr>
        <w:t xml:space="preserve">What </w:t>
      </w:r>
      <w:proofErr w:type="gramStart"/>
      <w:r>
        <w:rPr>
          <w:b/>
        </w:rPr>
        <w:t>this measures</w:t>
      </w:r>
      <w:proofErr w:type="gramEnd"/>
      <w:r>
        <w:rPr>
          <w:b/>
        </w:rPr>
        <w:t xml:space="preserve">. </w:t>
      </w:r>
      <w:r>
        <w:t xml:space="preserve">The value of intercepting a 1P-IM load while it’s still on the rail leg and diverting it to a taker that needs the work — versus letting it arrive and paying a full over-the-road (OTR) redirect afterward. </w:t>
      </w:r>
    </w:p>
    <w:p w14:paraId="35A7645E" w14:textId="163E1C37" w:rsidR="0086469D" w:rsidRDefault="00000000">
      <w:pPr>
        <w:spacing w:after="160"/>
      </w:pPr>
      <w:r>
        <w:rPr>
          <w:b/>
        </w:rPr>
        <w:t xml:space="preserve">The method (per load). </w:t>
      </w:r>
      <w:r w:rsidR="0043270E">
        <w:t>Cost avoidance</w:t>
      </w:r>
      <w:r>
        <w:t xml:space="preserve"> = (</w:t>
      </w:r>
      <w:proofErr w:type="gramStart"/>
      <w:r>
        <w:t>old planned</w:t>
      </w:r>
      <w:proofErr w:type="gramEnd"/>
      <w:r>
        <w:t xml:space="preserve"> dray − new </w:t>
      </w:r>
      <w:r w:rsidR="0043270E">
        <w:t>taker</w:t>
      </w:r>
      <w:r>
        <w:t xml:space="preserve"> </w:t>
      </w:r>
      <w:proofErr w:type="gramStart"/>
      <w:r>
        <w:t>dray</w:t>
      </w:r>
      <w:proofErr w:type="gramEnd"/>
      <w:r>
        <w:t>) + avoided rail leg (crosstown interceptions only) + avoided OTR</w:t>
      </w:r>
      <w:r w:rsidR="0043270E">
        <w:t xml:space="preserve"> redirect</w:t>
      </w:r>
      <w:r>
        <w:t xml:space="preserve">. Priced load-by-load against actual VLS carrier-settlement accruals (~90% measured; remainder labeled EST for accrual lag). Crosstown </w:t>
      </w:r>
      <w:r w:rsidR="0043270E">
        <w:t>calculations also account for</w:t>
      </w:r>
      <w:r>
        <w:t xml:space="preserve"> the </w:t>
      </w:r>
      <w:r w:rsidR="0043270E">
        <w:t>original</w:t>
      </w:r>
      <w:r>
        <w:t>, canceled leg VRIDs (~$0.76–1.0K/load)</w:t>
      </w:r>
      <w:r w:rsidR="0043270E">
        <w:t>.</w:t>
      </w:r>
    </w:p>
    <w:p w14:paraId="71C231B4" w14:textId="14116966" w:rsidR="0086469D" w:rsidRDefault="00000000">
      <w:pPr>
        <w:spacing w:after="60"/>
      </w:pPr>
      <w:r>
        <w:rPr>
          <w:b/>
        </w:rPr>
        <w:t>WK24–WK30 2026: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86469D" w14:paraId="50398D76" w14:textId="77777777" w:rsidTr="008646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41F9B223" w14:textId="77777777" w:rsidR="0086469D" w:rsidRDefault="0086469D">
            <w:pPr>
              <w:spacing w:after="20"/>
            </w:pPr>
          </w:p>
        </w:tc>
        <w:tc>
          <w:tcPr>
            <w:tcW w:w="2484" w:type="dxa"/>
          </w:tcPr>
          <w:p w14:paraId="2333CA59" w14:textId="77777777" w:rsidR="0086469D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Loads</w:t>
            </w:r>
          </w:p>
        </w:tc>
        <w:tc>
          <w:tcPr>
            <w:tcW w:w="2484" w:type="dxa"/>
          </w:tcPr>
          <w:p w14:paraId="14E685D0" w14:textId="77777777" w:rsidR="0086469D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Units</w:t>
            </w:r>
          </w:p>
        </w:tc>
        <w:tc>
          <w:tcPr>
            <w:tcW w:w="2484" w:type="dxa"/>
          </w:tcPr>
          <w:p w14:paraId="6AA828FE" w14:textId="6EDF2687" w:rsidR="0086469D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Net transport avoidance</w:t>
            </w:r>
            <w:r w:rsidR="0043270E">
              <w:t xml:space="preserve"> realized</w:t>
            </w:r>
          </w:p>
        </w:tc>
      </w:tr>
      <w:tr w:rsidR="0086469D" w14:paraId="7E410B81" w14:textId="77777777" w:rsidTr="00864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1F728816" w14:textId="77777777" w:rsidR="0086469D" w:rsidRDefault="00000000">
            <w:pPr>
              <w:spacing w:after="20"/>
            </w:pPr>
            <w:r>
              <w:rPr>
                <w:sz w:val="20"/>
              </w:rPr>
              <w:t>YTD total</w:t>
            </w:r>
          </w:p>
        </w:tc>
        <w:tc>
          <w:tcPr>
            <w:tcW w:w="2484" w:type="dxa"/>
          </w:tcPr>
          <w:p w14:paraId="07DB714A" w14:textId="77777777" w:rsidR="0086469D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~316</w:t>
            </w:r>
          </w:p>
        </w:tc>
        <w:tc>
          <w:tcPr>
            <w:tcW w:w="2484" w:type="dxa"/>
          </w:tcPr>
          <w:p w14:paraId="0895C754" w14:textId="77777777" w:rsidR="0086469D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~5.29M</w:t>
            </w:r>
          </w:p>
        </w:tc>
        <w:tc>
          <w:tcPr>
            <w:tcW w:w="2484" w:type="dxa"/>
          </w:tcPr>
          <w:p w14:paraId="750C91C4" w14:textId="77777777" w:rsidR="0086469D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~$150K</w:t>
            </w:r>
          </w:p>
        </w:tc>
      </w:tr>
    </w:tbl>
    <w:p w14:paraId="219CDE71" w14:textId="77777777" w:rsidR="0043270E" w:rsidRPr="0043270E" w:rsidRDefault="0043270E" w:rsidP="0043270E">
      <w:pPr>
        <w:pStyle w:val="ListBullet"/>
        <w:numPr>
          <w:ilvl w:val="0"/>
          <w:numId w:val="0"/>
        </w:numPr>
        <w:spacing w:after="40"/>
      </w:pPr>
    </w:p>
    <w:p w14:paraId="7F84FE1B" w14:textId="081194B9" w:rsidR="0043270E" w:rsidRDefault="0043270E" w:rsidP="0043270E">
      <w:pPr>
        <w:pStyle w:val="ListBullet"/>
        <w:numPr>
          <w:ilvl w:val="0"/>
          <w:numId w:val="0"/>
        </w:numPr>
        <w:spacing w:after="40"/>
        <w:ind w:left="360" w:hanging="360"/>
        <w:rPr>
          <w:b/>
        </w:rPr>
      </w:pPr>
      <w:r>
        <w:rPr>
          <w:b/>
        </w:rPr>
        <w:t>Estimated cost avoidance of</w:t>
      </w:r>
      <w:r w:rsidR="00000000">
        <w:rPr>
          <w:b/>
        </w:rPr>
        <w:t xml:space="preserve"> ~$930K by year-end 2026 / ~$1.3M full-year run-rate. </w:t>
      </w:r>
      <w:r>
        <w:t>We</w:t>
      </w:r>
      <w:r w:rsidR="00000000">
        <w:t xml:space="preserve"> launched </w:t>
      </w:r>
      <w:r>
        <w:t xml:space="preserve">more consistent weekly requests in </w:t>
      </w:r>
      <w:r w:rsidR="00000000">
        <w:t xml:space="preserve">WK24, so the EOY figure applies </w:t>
      </w:r>
      <w:r>
        <w:t>the % of weekly redirects utilizing AZIM</w:t>
      </w:r>
      <w:r w:rsidR="00000000">
        <w:t xml:space="preserve"> to </w:t>
      </w:r>
      <w:r>
        <w:t>seasonally expected</w:t>
      </w:r>
      <w:r w:rsidR="00000000">
        <w:t xml:space="preserve"> redirect volume for the remaining weeks (our redirect demand curve runs ~2× heavier in Q4);</w:t>
      </w:r>
      <w:r>
        <w:br/>
      </w:r>
      <w:r>
        <w:rPr>
          <w:b/>
        </w:rPr>
        <w:br/>
        <w:t>Note:</w:t>
      </w:r>
    </w:p>
    <w:p w14:paraId="75C063F9" w14:textId="77777777" w:rsidR="0043270E" w:rsidRDefault="0043270E" w:rsidP="0043270E">
      <w:pPr>
        <w:pStyle w:val="ListBullet"/>
        <w:numPr>
          <w:ilvl w:val="0"/>
          <w:numId w:val="10"/>
        </w:numPr>
        <w:spacing w:after="40"/>
      </w:pPr>
      <w:r w:rsidRPr="0043270E">
        <w:rPr>
          <w:b/>
        </w:rPr>
        <w:t>Best lane</w:t>
      </w:r>
      <w:r>
        <w:t xml:space="preserve"> RDU2→TOL3 at ~$2,840/load avoided, crosstown diversion </w:t>
      </w:r>
    </w:p>
    <w:p w14:paraId="511FB2CF" w14:textId="3AE12E92" w:rsidR="0086469D" w:rsidRDefault="0043270E" w:rsidP="0043270E">
      <w:pPr>
        <w:pStyle w:val="ListBullet"/>
        <w:numPr>
          <w:ilvl w:val="0"/>
          <w:numId w:val="10"/>
        </w:numPr>
        <w:spacing w:after="40"/>
      </w:pPr>
      <w:r w:rsidRPr="0043270E">
        <w:rPr>
          <w:b/>
        </w:rPr>
        <w:t>Primary value is backlog relief</w:t>
      </w:r>
      <w:r>
        <w:rPr>
          <w:b/>
        </w:rPr>
        <w:br/>
      </w:r>
      <w:r>
        <w:rPr>
          <w:b/>
        </w:rPr>
        <w:br/>
      </w:r>
    </w:p>
    <w:p>
      <w:r>
        <w:br w:type="page"/>
      </w:r>
    </w:p>
    <w:p>
      <w:pPr>
        <w:spacing w:after="80"/>
      </w:pPr>
      <w:r>
        <w:rPr>
          <w:b/>
          <w:sz w:val="26"/>
        </w:rPr>
        <w:t>Appendix — Worked Examples (every scenario in the base)</w:t>
      </w:r>
    </w:p>
    <w:p>
      <w:pPr>
        <w:spacing w:after="160"/>
      </w:pPr>
      <w:r>
        <w:rPr>
          <w:b/>
          <w:i w:val="0"/>
          <w:sz w:val="20"/>
        </w:rPr>
        <w:t xml:space="preserve">Formula per load: </w:t>
      </w:r>
      <w:r>
        <w:rPr>
          <w:b w:val="0"/>
          <w:i/>
          <w:sz w:val="20"/>
        </w:rPr>
        <w:t xml:space="preserve">net = (old planned dray X − new taker dray Y) + avoided rail leg (crosstown only) + avoided OTR. </w:t>
      </w:r>
      <w:r>
        <w:rPr>
          <w:b w:val="0"/>
          <w:i w:val="0"/>
          <w:sz w:val="20"/>
        </w:rPr>
        <w:t>Every leg below is tagged with its source. MEASURED = actual VLS carrier-settlement accrual on that VRID (invoice/paid where noted); EST = lane-median comp (60–120d) where the leg never ran or hasn’t accrued yet. Avoided-OTR comps are spot-only, exact-lane medians.</w:t>
      </w:r>
    </w:p>
    <w:p>
      <w:pPr>
        <w:spacing w:after="80"/>
      </w:pPr>
      <w:r>
        <w:rPr>
          <w:b/>
          <w:sz w:val="22"/>
        </w:rPr>
        <w:t>A. Standard same-ramp flip, positive net — RMN3→ABE8 (VRID 114C386PM, WK29)</w:t>
      </w:r>
    </w:p>
    <w:p>
      <w:pPr>
        <w:spacing w:after="60"/>
      </w:pPr>
      <w:r>
        <w:rPr>
          <w:b w:val="0"/>
          <w:i w:val="0"/>
          <w:sz w:val="20"/>
        </w:rPr>
        <w:t>Load rode rail to the Chambersburg ramp exactly as planned (rail identical both ways → cancels). Only the terminal dray was re-pointed to ABE8.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20"/>
            </w:pPr>
            <w:r>
              <w:rPr>
                <w:b/>
                <w:sz w:val="18"/>
              </w:rPr>
              <w:t>Leg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b/>
                <w:sz w:val="18"/>
              </w:rPr>
              <w:t>$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X: dray Chambersburg→RMN3 (planned, never ran)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742.29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EST lane-median 60d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Y: dray Chambersburg→ABE8 (actual)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1,223.55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MEASURED VLS accrual (same VRID re-pointed)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Rail origin→Chambersburg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cancels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ramp unchanged both ways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Avoided OTR RMN3→ABE8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823.43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SPOT exact-lane 60d median, n=22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b/>
                <w:sz w:val="18"/>
              </w:rPr>
              <w:t>net = (742.29 − 1,223.55) + 823.43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b/>
                <w:sz w:val="18"/>
              </w:rPr>
              <w:t>= +342.17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  <w:i/>
          <w:sz w:val="18"/>
        </w:rPr>
        <w:t>Note the flip dray to ABE8 actually cost MORE than the planned RMN3 dray (ABE8 is farther from the ramp) — the value is the $823 OTR truck we didn’t have to run. Lane: 31 loads, 31/31 measured Y, +$15,147.</w:t>
      </w:r>
    </w:p>
    <w:p>
      <w:pPr>
        <w:spacing w:after="80"/>
      </w:pPr>
      <w:r>
        <w:rPr>
          <w:b/>
          <w:sz w:val="22"/>
        </w:rPr>
        <w:t>B. Flip dray CHEAPER than planned — PSP3→LAX9 (VRID 111WHVC21, WK27)</w:t>
      </w:r>
    </w:p>
    <w:p>
      <w:pPr>
        <w:spacing w:after="60"/>
      </w:pPr>
      <w:r>
        <w:rPr>
          <w:b w:val="0"/>
          <w:i w:val="0"/>
          <w:sz w:val="20"/>
        </w:rPr>
        <w:t>Same-ramp (LA ramps); LAX9 sits closer to the ramp than Palm Springs, so the redirect saved dray outright before the OTR credit.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20"/>
            </w:pPr>
            <w:r>
              <w:rPr>
                <w:b/>
                <w:sz w:val="18"/>
              </w:rPr>
              <w:t>Leg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b/>
                <w:sz w:val="18"/>
              </w:rPr>
              <w:t>$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X: dray LA ramp→PSP3 (planned)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611.35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EST lane-median 60d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Y: dray LA ramp→LAX9 (actual)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287.90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MEASURED VLS accrual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Avoided OTR PSP3→LAX9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261.80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SPOT exact-lane 60d median, n=48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b/>
                <w:sz w:val="18"/>
              </w:rPr>
              <w:t>net = (611.35 − 287.90) + 261.80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b/>
                <w:sz w:val="18"/>
              </w:rPr>
              <w:t>= +585.25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  <w:i/>
          <w:sz w:val="18"/>
        </w:rPr>
        <w:t>Cheapest-possible redirect profile. Lane: 9 loads, 9/9 measured Y, +$4,339.</w:t>
      </w:r>
    </w:p>
    <w:p>
      <w:pPr>
        <w:spacing w:after="80"/>
      </w:pPr>
      <w:r>
        <w:rPr>
          <w:b/>
          <w:sz w:val="22"/>
        </w:rPr>
        <w:t>C. Thin-margin short-dray — MDW2→RFD2 (VRID 11357WQQ9, WK29)</w:t>
      </w:r>
    </w:p>
    <w:p>
      <w:pPr>
        <w:spacing w:after="60"/>
      </w:pPr>
      <w:r>
        <w:rPr>
          <w:b w:val="0"/>
          <w:i w:val="0"/>
          <w:sz w:val="20"/>
        </w:rPr>
        <w:t>Chicago-ramp re-point; small dollars per load — this lane’s value driver is backlog balance, not transport $.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20"/>
            </w:pPr>
            <w:r>
              <w:rPr>
                <w:b/>
                <w:sz w:val="18"/>
              </w:rPr>
              <w:t>Leg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b/>
                <w:sz w:val="18"/>
              </w:rPr>
              <w:t>$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X: dray Cicero→MDW2 (planned)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168.23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EST lane-median 60d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Y: dray Cicero→RFD2 (actual)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240.95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MEASURED VLS accrual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Avoided OTR MDW2→RFD2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236.26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SPOT exact-lane 60d median, n=27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b/>
                <w:sz w:val="18"/>
              </w:rPr>
              <w:t>net = (168.23 − 240.95) + 236.26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b/>
                <w:sz w:val="18"/>
              </w:rPr>
              <w:t>= +163.54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  <w:i/>
          <w:sz w:val="18"/>
        </w:rPr>
        <w:t>Lane: 85 loads across WK28–29, +$14,713.</w:t>
      </w:r>
    </w:p>
    <w:p>
      <w:pPr>
        <w:spacing w:after="80"/>
      </w:pPr>
      <w:r>
        <w:rPr>
          <w:b/>
          <w:sz w:val="22"/>
        </w:rPr>
        <w:t>D. Crosstown interception, measured rail credit — RDU2→TOL3 (VRID 112Z4HL6F, WK28)</w:t>
      </w:r>
    </w:p>
    <w:p>
      <w:pPr>
        <w:spacing w:after="60"/>
      </w:pPr>
      <w:r>
        <w:rPr>
          <w:b w:val="0"/>
          <w:i w:val="0"/>
          <w:sz w:val="20"/>
        </w:rPr>
        <w:t>Load was booked PSC2 → rail → Chicago crosstown → rail → Charlotte ramp → dray to RDU2. We intercepted it AT the Chicago crosstown and trucked to TOL3 — the Chicago→Charlotte rail leg (booked as its own VRID) never ran and was canceled. That avoided leg is credited at its own booked manifest accrual, not a corridor estimate.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20"/>
            </w:pPr>
            <w:r>
              <w:rPr>
                <w:b/>
                <w:sz w:val="18"/>
              </w:rPr>
              <w:t>Leg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b/>
                <w:sz w:val="18"/>
              </w:rPr>
              <w:t>$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Avoided rail Calumet→Charlotte (canceled)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996.09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MEASURED — the leg’s own manifest accrual; canceled, never invoiced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X: dray Charlotte→RDU2 (planned, canceled)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1,061.28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MEASURED canceled-leg accrual (this VRID)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Y: truck Chicago-Global-II→TOL3 (actual)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995.96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MEASURED, INVOICE+PAID confirmed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Avoided OTR RDU2→TOL3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2,242.08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SPOT exact-lane 60d median, n=19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b/>
                <w:sz w:val="18"/>
              </w:rPr>
              <w:t>net = (996.09 + 1,061.28) − 995.96 + 2,242.08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b/>
                <w:sz w:val="18"/>
              </w:rPr>
              <w:t>= +3,303.49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  <w:i/>
          <w:sz w:val="18"/>
        </w:rPr>
        <w:t>Shared legs (PSC2 origin dray + rail to Chicago) ran identically under both routings and cancel. Lane: 28 loads, ~$2,840/load average, +$79.5K. The best per-load profile in the base — crosstown interception avoids an entire rail leg.</w:t>
      </w:r>
    </w:p>
    <w:p>
      <w:pPr>
        <w:spacing w:after="80"/>
      </w:pPr>
      <w:r>
        <w:rPr>
          <w:b/>
          <w:sz w:val="22"/>
        </w:rPr>
        <w:t>E. Crosstown, conservatively partial-priced — MCI4→IND9 (WK30, 9 loads)</w:t>
      </w:r>
    </w:p>
    <w:p>
      <w:pPr>
        <w:spacing w:after="60"/>
      </w:pPr>
      <w:r>
        <w:rPr>
          <w:b w:val="0"/>
          <w:i w:val="0"/>
          <w:sz w:val="20"/>
        </w:rPr>
        <w:t>Same crosstown signature as D (different hub + carriers: NSRR→BNSF at Chicago-Croxton; the giver-bound BNSF Willowsprings branch never ran). Loads are days old, so VLS hasn’t accrued the actual drays yet, and no independent OTR comp exists (the only MCI4→IND9 truck history IS this redirect window — using it would be circular). Treatment: count only what’s proven.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20"/>
            </w:pPr>
            <w:r>
              <w:rPr>
                <w:b/>
                <w:sz w:val="18"/>
              </w:rPr>
              <w:t>Leg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b/>
                <w:sz w:val="18"/>
              </w:rPr>
              <w:t>$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Avoided rail leg (canceled giver-bound branch)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758 avg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MEASURED — canceled leg’s booked accrual, 9/9 loads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X: planned dray Logparkan→MCI4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302.47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EST lane-median 120d, n=200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Y: actual dray Chicago-47th→IND9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605.13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EST lane-median 120d, n=585 (accrual lag)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Avoided OTR MCI4→IND9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EXCLUDED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8"/>
              </w:rPr>
              <w:t>no non-circular comp exists — omitted rather than estimated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b/>
                <w:sz w:val="18"/>
              </w:rPr>
              <w:t>net (partial) = 758 + (302.47 − 605.13)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b/>
                <w:sz w:val="18"/>
              </w:rPr>
              <w:t>= +455.79/load · +$4.1K lane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  <w:i/>
          <w:sz w:val="18"/>
        </w:rPr>
        <w:t>This lane’s true net is HIGHER than booked — the avoided-OTR term (the largest positive term in every other lane) is deliberately left out rather than guessed. Floor, not ceiling.</w:t>
      </w:r>
    </w:p>
    <w:p>
      <w:pPr>
        <w:spacing w:after="80"/>
      </w:pPr>
      <w:r>
        <w:rPr>
          <w:b/>
          <w:sz w:val="22"/>
        </w:rPr>
        <w:t>F. Negative lane, kept in the number — FTW1→IAH3 (72 loads, WK24+)</w:t>
      </w:r>
    </w:p>
    <w:p>
      <w:pPr>
        <w:spacing w:after="160"/>
      </w:pPr>
      <w:r>
        <w:rPr>
          <w:b w:val="0"/>
          <w:i w:val="0"/>
          <w:sz w:val="20"/>
        </w:rPr>
        <w:t>On this lane the flip dray averaged more expensive than the planned dray by MORE than the avoided OTR (~$671/load spot median) — so the formula prices it slightly NEGATIVE: −$3.2K across 72 loads. It stays in the total. The method penalizes re-points that cost more than the truck they replace — the same property that makes the positive lanes credible.</w:t>
      </w:r>
    </w:p>
    <w:p>
      <w:pPr>
        <w:spacing w:after="80"/>
      </w:pPr>
      <w:r>
        <w:rPr>
          <w:b/>
          <w:sz w:val="22"/>
        </w:rPr>
        <w:t>G. What does NOT count — requested but never manifested</w:t>
      </w:r>
    </w:p>
    <w:p>
      <w:pPr>
        <w:spacing w:after="160"/>
      </w:pPr>
      <w:r>
        <w:rPr>
          <w:b w:val="0"/>
          <w:i w:val="0"/>
          <w:sz w:val="20"/>
        </w:rPr>
        <w:t>A redirect only enters the base when a NEW MANIFEST ID lands in the shared midstream tracker. Example: the WK25 CLT2→MCI4 ask (24 loads) was requested but never manifested/executed — it is fully excluded, contributing $0. Requested-but-not-executed asks never inflate the number.</w:t>
      </w:r>
    </w:p>
    <w:p>
      <w:pPr>
        <w:spacing w:after="80"/>
      </w:pPr>
      <w:r>
        <w:rPr>
          <w:b/>
          <w:sz w:val="22"/>
        </w:rPr>
        <w:t>Coverage</w:t>
      </w:r>
    </w:p>
    <w:p>
      <w:pPr>
        <w:spacing w:after="0"/>
      </w:pPr>
      <w:r>
        <w:rPr>
          <w:b w:val="0"/>
          <w:i w:val="0"/>
          <w:sz w:val="20"/>
        </w:rPr>
        <w:t>The seven cases above cover every load in the WK24–WK30 base: 279 standard same-ramp loads (profiles A/B/C/F), 37 crosstown loads (D/E), and the exclusions (G). Every dollar in the ~$150K total is one of these shapes, tagged MEASURED or EST in the per-VRID detail — happy to walk any specific load end-to-end.</w:t>
      </w:r>
    </w:p>
    <w:p>
      <w:pPr>
        <w:spacing w:after="80"/>
      </w:pPr>
      <w:r>
        <w:rPr>
          <w:b/>
          <w:sz w:val="24"/>
        </w:rPr>
        <w:t>Related: the other levers we run on this corridor (FYI, updated 7/28)</w:t>
      </w:r>
    </w:p>
    <w:p>
      <w:pPr>
        <w:spacing w:after="120"/>
      </w:pPr>
      <w:r>
        <w:rPr>
          <w:b/>
          <w:i w:val="0"/>
          <w:sz w:val="20"/>
        </w:rPr>
        <w:t xml:space="preserve">TOFC (Q2, LAS1/VGT2 → MDW2/RFD2/FWA4 with your team building the run structures): </w:t>
      </w:r>
      <w:r>
        <w:rPr>
          <w:b w:val="0"/>
          <w:i w:val="0"/>
          <w:sz w:val="20"/>
        </w:rPr>
        <w:t xml:space="preserve">re-audited with the same settlement-actuals discipline as the midstream number above. Ground-truth VRID tracker shows </w:t>
      </w:r>
      <w:r>
        <w:rPr>
          <w:b/>
          <w:i w:val="0"/>
          <w:sz w:val="20"/>
        </w:rPr>
        <w:t>189 trailers executed</w:t>
      </w:r>
      <w:r>
        <w:rPr>
          <w:b w:val="0"/>
          <w:i w:val="0"/>
          <w:sz w:val="20"/>
        </w:rPr>
        <w:t xml:space="preserve"> (the steering tracker had undercounted at 146; one manifest-flipped-but-never-moved load excluded). Measured all-in cost — Vegas dray + rail + destination dray — averaged </w:t>
      </w:r>
      <w:r>
        <w:rPr>
          <w:b/>
          <w:i w:val="0"/>
          <w:sz w:val="20"/>
        </w:rPr>
        <w:t>$3,946/trailer</w:t>
      </w:r>
      <w:r>
        <w:rPr>
          <w:b w:val="0"/>
          <w:i w:val="0"/>
          <w:sz w:val="20"/>
        </w:rPr>
        <w:t xml:space="preserve">, with the rail leg dropping 36% to a $2,313 flat rate ($1.18/mi) from WK18 after the procurement rate-parity push. Against prevailing OTR market rates on those lanes, estimated cost avoidance is </w:t>
      </w:r>
      <w:r>
        <w:rPr>
          <w:b/>
          <w:i w:val="0"/>
          <w:sz w:val="20"/>
        </w:rPr>
        <w:t>~$685K</w:t>
      </w:r>
      <w:r>
        <w:rPr>
          <w:b w:val="0"/>
          <w:i w:val="0"/>
          <w:sz w:val="20"/>
        </w:rPr>
        <w:t xml:space="preserve"> for the Q2 window.</w:t>
      </w:r>
    </w:p>
    <w:p>
      <w:pPr>
        <w:spacing w:after="40"/>
      </w:pPr>
      <w:r>
        <w:rPr>
          <w:b/>
          <w:i w:val="0"/>
          <w:sz w:val="20"/>
        </w:rPr>
        <w:t xml:space="preserve">One finding worth your eyes: </w:t>
      </w:r>
      <w:r>
        <w:rPr>
          <w:b w:val="0"/>
          <w:i w:val="0"/>
          <w:sz w:val="20"/>
        </w:rPr>
        <w:t>pricing the OB NTI origin flips surfaced that the LAS1/VGT2 → Chicago-area corridor has essentially no OTR truckload history — it moves intermodal. Real OTR bookings we did force (Feb 2026, SIM record) ran $3.2–5.3K/load and were hard to cover; current market estimates run $6.3–9.1K/load. Practical implication for both our teams: on this corridor, rail/TOFC-style moves are structurally the right relief lever, and any "vs. OTR" economics should use market-rate estimates, not assume bookability at contract rates.</w:t>
      </w:r>
    </w:p>
    <w:sectPr w:rsidR="0086469D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87A91F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512FCB"/>
    <w:multiLevelType w:val="hybridMultilevel"/>
    <w:tmpl w:val="C8C49606"/>
    <w:lvl w:ilvl="0" w:tplc="59D4987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6153711">
    <w:abstractNumId w:val="8"/>
  </w:num>
  <w:num w:numId="2" w16cid:durableId="2097163431">
    <w:abstractNumId w:val="6"/>
  </w:num>
  <w:num w:numId="3" w16cid:durableId="2095585235">
    <w:abstractNumId w:val="5"/>
  </w:num>
  <w:num w:numId="4" w16cid:durableId="502400520">
    <w:abstractNumId w:val="4"/>
  </w:num>
  <w:num w:numId="5" w16cid:durableId="947854922">
    <w:abstractNumId w:val="7"/>
  </w:num>
  <w:num w:numId="6" w16cid:durableId="1772433413">
    <w:abstractNumId w:val="3"/>
  </w:num>
  <w:num w:numId="7" w16cid:durableId="1214460702">
    <w:abstractNumId w:val="2"/>
  </w:num>
  <w:num w:numId="8" w16cid:durableId="418673673">
    <w:abstractNumId w:val="1"/>
  </w:num>
  <w:num w:numId="9" w16cid:durableId="1978679332">
    <w:abstractNumId w:val="0"/>
  </w:num>
  <w:num w:numId="10" w16cid:durableId="6770053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5AB7"/>
    <w:rsid w:val="00326F90"/>
    <w:rsid w:val="0043270E"/>
    <w:rsid w:val="0086469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55E6F9"/>
  <w14:defaultImageDpi w14:val="300"/>
  <w15:docId w15:val="{FE7054D1-2B00-4D3E-8870-1EF4676F3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Zhou, William</cp:lastModifiedBy>
  <cp:revision>2</cp:revision>
  <dcterms:created xsi:type="dcterms:W3CDTF">2013-12-23T23:15:00Z</dcterms:created>
  <dcterms:modified xsi:type="dcterms:W3CDTF">2026-07-27T23:40:00Z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2026-07-27T23:40:49Z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50cb844d-e288-4393-a45a-ce492b32b8db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