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William Zhou — L4 → L5 Promo Doc</w:t>
      </w:r>
    </w:p>
    <w:p>
      <w:r>
        <w:t xml:space="preserve">William Zhou joined Amazon in October 2024 as a Supply Chain Manager I within Inbound Planning and Execution (IPEX). Within six months he owned redirects for two of five Regional Inbound Cross-Dock (rIXD) regions and had built ICT's business-review system from scratch; by Q3 2025 he owned all five rIXD regions, and in Q1 2026 he took on National IXD (nIXD). </w:t>
      </w:r>
      <w:r>
        <w:rPr>
          <w:b/>
        </w:rPr>
        <w:t>Today, William owns all IXD redirect execution for IPEX-Inbound Control Tower (ICT) — 55 rIXD/nIXD sites (35 rIXD + 20 nIXD, as of July 2026) carrying ~450M units/week of inbound arrivals (WK28 2026 actual).</w:t>
      </w:r>
    </w:p>
    <w:p>
      <w:r>
        <w:t>The examples below show consistent L5 performance: he works ambiguous cross-functional problems with minimal to no direction, converts individual expertise and judgment into tools and standards the team runs, and independently drives consensus with internal and external partners on cross-org processes and initiatives.</w:t>
      </w:r>
    </w:p>
    <w:p>
      <w:pPr>
        <w:pStyle w:val="Heading1"/>
      </w:pPr>
      <w:r>
        <w:t>Scope of Role (L4 → L5)</w:t>
      </w:r>
    </w:p>
    <w:p>
      <w:r>
        <w:t xml:space="preserve">The Supply Chain Manager II (SCMII) </w:t>
      </w:r>
      <w:r>
        <w:rPr>
          <w:b/>
        </w:rPr>
        <w:t>IXD Redirect Execution</w:t>
      </w:r>
      <w:r>
        <w:t xml:space="preserve"> role within Inbound Control Tower (ICT) is an individual-contributor scope where the rules for daily reactive steering live as tribal knowledge. It demands command of constraint-level MDP, workload buffers, backlogs, and yard utilization to guide tactical stakeholders, own the response during escalations reaching Director-level visibility, and push back with data on senior asks that shift the problem rather than solve it — protecting against wasteful spend.</w:t>
      </w:r>
    </w:p>
    <w:p>
      <w:r>
        <w:rPr>
          <w:b/>
        </w:rPr>
        <w:t>The SCMII owns rIXD + nIXD redirect execution across 55 live rIXD/nIXD sites and ~450M units/week of inbound arrivals, within a 2026 redirect budget of $36.3M ($20.4M New Vendor Freight (NVF) inbound + $15.9M New Transfer In (NTI))</w:t>
      </w:r>
      <w:r>
        <w:t xml:space="preserve"> — extending forward to 1DC redirect escalations, RDC new-launch support (IMO1, ITX3), and special-project redirects for the Specialty (SDC) network (HGR5, QXX6). It holds internal and external partners (IPEX-VSCOR, IPEX-SKED, ESS, AFLTL, AWD, S&amp;OP / WK0 Execution, Ops) to the same high data bar before aligning on redirects, and autonomously surfaces risky plans. It also demands the ability to influence partner teams to commit bandwidth and funding toward network-health needs, backing every stance with data.</w:t>
      </w:r>
    </w:p>
    <w:p>
      <w:pPr>
        <w:pStyle w:val="Heading1"/>
      </w:pPr>
      <w:r>
        <w:t>Promotion Assessment</w:t>
      </w:r>
    </w:p>
    <w:p>
      <w:pPr>
        <w:pStyle w:val="Heading2"/>
      </w:pPr>
      <w:r>
        <w:t>Introduction</w:t>
      </w:r>
    </w:p>
    <w:p>
      <w:r>
        <w:rPr>
          <w:b/>
        </w:rPr>
        <w:t>William owns redirect-execution management and analytics for all IXDs — consolidating what was distributed across multiple L5 SCMs into a single L4-owned scope</w:t>
      </w:r>
      <w:r>
        <w:t xml:space="preserve"> — which requires strong working relationships across partner teams including AZIM, AGL, AFE, S&amp;OP, ESS, IPEX-VSCOR, IPEX-SKED, AWD, AFLTL, and Carrier Management. The examples below illustrate his demonstration of the Leadership Principles above and beyond day-to-day executional rigor.</w:t>
      </w:r>
    </w:p>
    <w:p>
      <w:pPr>
        <w:pStyle w:val="Heading2"/>
      </w:pPr>
      <w:r>
        <w:t>Evidence</w:t>
      </w:r>
    </w:p>
    <w:p>
      <w:r>
        <w:rPr>
          <w:b/>
        </w:rPr>
        <w:t>Example 1: 3P Intermodal Rate Restructure — Cross-Functional Cost Methodology with J.B. Hunt Intermodal Pricing Leadership</w:t>
      </w:r>
    </w:p>
    <w:p>
      <w:r>
        <w:rPr>
          <w:b/>
        </w:rPr>
        <w:t>William led the cross-functional restructure of 3P intermodal redirect pricing — converting a 2–4-hour-per-request spot-quote negotiation into a published, auditable standard that cut cost per move by a verified 47%.</w:t>
      </w:r>
      <w:r>
        <w:t xml:space="preserve"> Until Q3 2025, these redirects ran on a spot-quote model that exposed Amazon to a Finance-estimated ~$2M in historical overpayment, with carriers double-paid for overlapping segments. Over 3+ months with J.B. Hunt Intermodal (HJBI) pricing leadership, Carrier Services, AP, and Controllership, he restructured the methodology so Amazon pays only incremental costs rather than the full lane: a rate-publication agreement (published ramp-to-FC linehaul rates), with a rate-difference-plus-administrative-fee structure that compensated HJBI while limiting Amazon to incremental costs — paired with an automated rate-lookup tool. It delivered </w:t>
      </w:r>
      <w:r>
        <w:rPr>
          <w:b/>
        </w:rPr>
        <w:t>$79K in rate savings across its first 359 redirects ($229K projected annualized)</w:t>
      </w:r>
      <w:r>
        <w:t xml:space="preserve"> and now governs every 3P-IM redirect the team prices — </w:t>
      </w:r>
      <w:r>
        <w:rPr>
          <w:b/>
        </w:rPr>
        <w:t>~$85K in estimated year-to-date rate savings</w:t>
      </w:r>
      <w:r>
        <w:t>, re-verified in July 2026 against the published rate matrix.</w:t>
      </w:r>
    </w:p>
    <w:p>
      <w:r>
        <w:rPr>
          <w:b/>
        </w:rPr>
        <w:t>Leadership Principles demonstrated:</w:t>
      </w:r>
      <w:r>
        <w:t xml:space="preserve"> Earn Trust, Deliver Results</w:t>
      </w:r>
    </w:p>
    <w:p>
      <w:r>
        <w:rPr>
          <w:i/>
        </w:rPr>
        <w:t>Role guideline: "You collaborate with stakeholders to deliver high-quality consistent results."</w:t>
      </w:r>
    </w:p>
    <w:p>
      <w:r>
        <w:rPr>
          <w:b/>
        </w:rPr>
        <w:t>Example 2: Operationalizing GenAI into Production Tools — the Flash and the Redirect GenAI Suite</w:t>
      </w:r>
    </w:p>
    <w:p>
      <w:r>
        <w:rPr>
          <w:b/>
        </w:rPr>
        <w:t>In late 2025 — when sanctioned AI tooling was chatbot-only, before any CLI- or IDE-based tools were approved for widespread non-technical use — William took the initiative to attend learning sessions on best practices such as the Context Document methodology, and used it both to apply and to teach how to take GenAI from an email editor to a trained, knowledgeable tool the team can use to create net-new capabilities.</w:t>
      </w:r>
      <w:r>
        <w:t xml:space="preserve"> He then held a training session for 11 stakeholders across IPEX. In 2026, as new-generation AI co-working tools like Claude and Kiro came online, he took this further by building multiple production outputs.</w:t>
      </w:r>
    </w:p>
    <w:p>
      <w:r>
        <w:t xml:space="preserve">First, the daily IPEX Ops Flash: in H1 2025 it was hand-assembled each afternoon from dashboards, Excel outputs, and manual data entry — a ~2-hour combined build across multiple network owners. William rebuilt it into a GenAI-assisted pipeline that generates the network-steering breakdowns in minutes — an estimated </w:t>
      </w:r>
      <w:r>
        <w:rPr>
          <w:b/>
        </w:rPr>
        <w:t>~500 hours a year of combined manager capacity returned.</w:t>
      </w:r>
      <w:r>
        <w:t xml:space="preserve"> Anchored by proper documentation, the workflow is scalable and has been operated successfully by teammates without his direct oversight.</w:t>
      </w:r>
    </w:p>
    <w:p>
      <w:r>
        <w:t xml:space="preserve">Second, he extended the pattern into a suite of GenAI tools that turns the team's vetting and judgment into deterministic code. Notable examples: a </w:t>
      </w:r>
      <w:r>
        <w:rPr>
          <w:b/>
        </w:rPr>
        <w:t>cost estimator</w:t>
      </w:r>
      <w:r>
        <w:t xml:space="preserve"> on trailing 60-day per-lane actuals (and additional criteria) so cost is quantified and surfaced to stakeholders for tradeoff-aware decisions; and a </w:t>
      </w:r>
      <w:r>
        <w:rPr>
          <w:b/>
        </w:rPr>
        <w:t>SIM auditor</w:t>
      </w:r>
      <w:r>
        <w:t xml:space="preserve"> that reconciles open SIMs against updated backlog outlooks, ensuring no redirect spend goes to asks that are no longer warranted. The suite is version-controlled — with automated tests that catch breakage before it ships — and ships as a shared team package with onboarding documentation, so teammates can pull updates and refinements as they are patched.</w:t>
      </w:r>
    </w:p>
    <w:p>
      <w:r>
        <w:rPr>
          <w:b/>
        </w:rPr>
        <w:t>Leadership Principles demonstrated:</w:t>
      </w:r>
      <w:r>
        <w:t xml:space="preserve"> Learn and Be Curious, Invent and Simplify</w:t>
      </w:r>
    </w:p>
    <w:p>
      <w:r>
        <w:rPr>
          <w:i/>
        </w:rPr>
        <w:t>Role guideline: "Even though this is not a tech role, it is one where you heavily leverage, influence, and guide the development of technology … to drive more optimal and more automated decision making, design, and execution."</w:t>
      </w:r>
    </w:p>
    <w:p>
      <w:r>
        <w:rPr>
          <w:b/>
        </w:rPr>
        <w:t>Example 3: Low-Cost Redirect Levers — Midstream Intermodal Reroutes &amp; Origin Flips</w:t>
      </w:r>
    </w:p>
    <w:p>
      <w:r>
        <w:rPr>
          <w:b/>
        </w:rPr>
        <w:t>William built a portfolio of levers that redirect freight at much lower incremental cost — and when a mid-2026 ATS trailer-cap directive cut redirect volume ~12%, drove the hourly execution team to adopt a midstream / low-cost-first mindset over the path of least resistance.</w:t>
      </w:r>
      <w:r>
        <w:t xml:space="preserve"> Redirect execution has historically defaulted to a single mechanism — a full downstream re-move once freight reaches a stressed node. William wrote each cheaper lever's eligibility rules as standard work and led the change management to make them stick; presenting the levers in team and all-hands forums and partnering with AA Managers to cross-train associates so midstream redirects became a feasible daily lever rather than a special exception.</w:t>
      </w:r>
    </w:p>
    <w:p>
      <w:pPr>
        <w:pStyle w:val="ListBullet"/>
      </w:pPr>
      <w:r>
        <w:rPr>
          <w:b/>
        </w:rPr>
        <w:t>AZIM 1P intermodal midstream redirects:</w:t>
      </w:r>
      <w:r>
        <w:t xml:space="preserve"> Rather than wait for a load to arrive and pay a full downstream redirect, William worked with the Amazon Intermodal (AZIM) team on a mechanism to divert it </w:t>
      </w:r>
      <w:r>
        <w:rPr>
          <w:i/>
        </w:rPr>
        <w:t>while still on the rail leg</w:t>
      </w:r>
      <w:r>
        <w:t xml:space="preserve"> — Amazon pays only the dray difference, avoiding the cost of a full over-the-road redirect. William built the tooling that flags which loads are redirectable, streamlining an otherwise manual research process. Since its WK24 launch the lever has redirected </w:t>
      </w:r>
      <w:r>
        <w:rPr>
          <w:b/>
        </w:rPr>
        <w:t>~316 loads / 5.29M units (~45/week)</w:t>
      </w:r>
      <w:r>
        <w:t xml:space="preserve"> for </w:t>
      </w:r>
      <w:r>
        <w:rPr>
          <w:b/>
        </w:rPr>
        <w:t>~$150K in net cost avoidance to date — pacing to ~$930K by year-end (adjusted for the annual Q4 redirect surge based on historical data) and a ~$1.3M full-year run-rate</w:t>
      </w:r>
      <w:r>
        <w:t xml:space="preserve"> — priced load-by-load against carrier settlement actuals.¹</w:t>
      </w:r>
    </w:p>
    <w:p>
      <w:pPr>
        <w:pStyle w:val="ListBullet"/>
      </w:pPr>
      <w:r>
        <w:rPr>
          <w:b/>
        </w:rPr>
        <w:t>nIXD OB NTI origin-side flip (pre-outbound into rIXD):</w:t>
      </w:r>
      <w:r>
        <w:t xml:space="preserve"> William drove the outbound New-Transfer-In flip — redirecting transfer freight at the </w:t>
      </w:r>
      <w:r>
        <w:rPr>
          <w:i/>
        </w:rPr>
        <w:t>origin</w:t>
      </w:r>
      <w:r>
        <w:t xml:space="preserve"> before a truck dispatches (nIXD → rIXD FC2) — from an inconsistent break-glass action into a documented standard lever, its mechanics and eligibility agreed with Reactive Scheduling and Amazon Transportation Services (ATS). Since standardization the lever has executed </w:t>
      </w:r>
      <w:r>
        <w:rPr>
          <w:b/>
        </w:rPr>
        <w:t>675 loads / 10.5M units (Feb–Jul 2026)</w:t>
      </w:r>
      <w:r>
        <w:t xml:space="preserve"> for an estimated </w:t>
      </w:r>
      <w:r>
        <w:rPr>
          <w:b/>
        </w:rPr>
        <w:t>~$570K in net cost avoidance</w:t>
      </w:r>
      <w:r>
        <w:t xml:space="preserve"> on the fully-priced portion — executed linehaul measured against settlement actuals, avoided downstream moves credited at prevailing market rates.¹</w:t>
      </w:r>
    </w:p>
    <w:p>
      <w:pPr>
        <w:pStyle w:val="ListBullet"/>
      </w:pPr>
      <w:r>
        <w:rPr>
          <w:b/>
        </w:rPr>
        <w:t>TOFC:</w:t>
      </w:r>
      <w:r>
        <w:t xml:space="preserve"> When LAS1's NVF delays exceeded 10 days with conventional levers exhausted, William designed the Trailer-on-Flatcar execution mechanism — building the process flow in collaboration with AZIM and running daily execution during multiple escalations in 2026. In Q2, </w:t>
      </w:r>
      <w:r>
        <w:rPr>
          <w:b/>
        </w:rPr>
        <w:t>189 trailers were moved for an estimated ~$685K in cost avoidance</w:t>
      </w:r>
      <w:r>
        <w:t xml:space="preserve"> — measured all-in TOFC cost (dray, rail, and destination-dray legs priced from settlement actuals at ~$3.9K/trailer) against prevailing over-the-road market rates on the executed lanes.¹</w:t>
      </w:r>
    </w:p>
    <w:p>
      <w:r>
        <w:t>Upcoming work extends the playbook to Amazon Freight External (AFE) freight, partnering with GL and AF Finance to build a mechanism to reroute AFE appointments midstream — further reducing cost by avoiding the more expensive downstream solution.</w:t>
      </w:r>
    </w:p>
    <w:p>
      <w:r>
        <w:rPr>
          <w:i/>
        </w:rPr>
        <w:t>¹ Cost-avoidance figures are priced load-by-load against carrier settlement actuals, with avoided-move credits at prevailing market rates where the counterfactual move never ran; forward figures are extrapolations from that measured base. The AZIM year-end pace applies the lever's demonstrated usage rate to the seasonally expected redirect volume for the remaining weeks (using trailing-18-month data on redirect demand curve; Q4 runs ~2× the mid-year baseline), with the full-year run-rate stating the capability's value across a full annual cycle. Additional details on per-lever methodology are available on request.</w:t>
      </w:r>
    </w:p>
    <w:p>
      <w:r>
        <w:rPr>
          <w:b/>
        </w:rPr>
        <w:t>Leadership Principles demonstrated:</w:t>
      </w:r>
      <w:r>
        <w:t xml:space="preserve"> Frugality, Are Right, A Lot</w:t>
      </w:r>
    </w:p>
    <w:p>
      <w:r>
        <w:rPr>
          <w:i/>
        </w:rPr>
        <w:t>Role guideline: "You are able to make trade-offs (deciding in how to optimize use on an internal network …)."</w:t>
      </w:r>
    </w:p>
    <w:p>
      <w:r>
        <w:rPr>
          <w:b/>
        </w:rPr>
        <w:t>Example 4: ICT Business-Review Architecture — Building the DBR→QBR Performance-Measurement System from Scratch</w:t>
      </w:r>
    </w:p>
    <w:p>
      <w:r>
        <w:rPr>
          <w:b/>
        </w:rPr>
        <w:t>In his first six months at Amazon, William built ICT's daily-through-quarterly performance-measurement system (DBR/WBR/MBR/QBR) — a 49-plus-metric set, its ETL pipeline, and its IPEX Analytics publishing — that became the redirect-execution metric of record the steering org reads from.</w:t>
      </w:r>
      <w:r>
        <w:t xml:space="preserve"> When he joined, ICT did not measure redirect performance and quality: no standard definition of on-time, no defect attribution, no daily-to-quarterly rhythm. He designed it end to end. The taxonomy spans execution, on-time pickup/delivery quality, and defect attribution by controllability (FC- vs IPEX- vs carrier- vs uncontrollable), broken out by network and mode, layered on top of the existing lead-time-savings components in the incumbent WBR. He did the hard analytical parts himself: correcting on-time logic for loads scheduled at a week boundary but picked up prior, excluding freight modes whose EDI gaps corrupted the signal, and re-basing transfer dwell to vendor-redirect dwell at hourly grain. When a source table stopped populating the load-creator field at the daily grain — which would have made it impossible to separate IPEX redirects from other aliases on the shared shipper account — he wrote the problem statement, escalated it, and drove the fix to a validated alternate table. He coordinated IPEX Analytics on the ETL build and the workarounds while driving final ICT-management sign-off.</w:t>
      </w:r>
    </w:p>
    <w:p>
      <w:r>
        <w:rPr>
          <w:b/>
        </w:rPr>
        <w:t>Leadership Principles demonstrated:</w:t>
      </w:r>
      <w:r>
        <w:t xml:space="preserve"> Ownership, Dive Deep</w:t>
      </w:r>
    </w:p>
    <w:p>
      <w:r>
        <w:rPr>
          <w:i/>
        </w:rPr>
        <w:t>Role guideline: "You improve scope and depth of the measurement systems and make sure that the processes are auditable, decisions are data-driven, and work quality is measurable."</w:t>
      </w:r>
    </w:p>
    <w:p>
      <w:r>
        <w:rPr>
          <w:b/>
        </w:rPr>
        <w:t>Example 5: HJBI Drop-to-Live Pilot — Driving a Stalled Cross-Org Opportunity from Analysis to Live Execution</w:t>
      </w:r>
    </w:p>
    <w:p>
      <w:r>
        <w:rPr>
          <w:b/>
        </w:rPr>
        <w:t>A $22.5M drop-to-live conversion opportunity with J.B. Hunt — sized at a 0.423-day network MDP benefit from a Q4 2025 IPEX-VSCOR analysis and stalled for months across a scope no single team owned — was re-engaged by William, who took primary in April 2026 and drove it from analysis to a live, executing pilot.</w:t>
      </w:r>
      <w:r>
        <w:t xml:space="preserve"> The opportunity required SCAC provisioning, HJBI procurement alignment, site-selection logic, and cancel-and-retender mechanics.</w:t>
      </w:r>
    </w:p>
    <w:p>
      <w:r>
        <w:t xml:space="preserve">William locked the operating model at the April alignment: rather than convert existing drop appointments in place — which would degrade J.B. Hunt's baseline drop first-pass yield (FPY) — he stood up a </w:t>
      </w:r>
      <w:r>
        <w:rPr>
          <w:b/>
        </w:rPr>
        <w:t>separate live-only carrier account (HJBL SCAC)</w:t>
      </w:r>
      <w:r>
        <w:t xml:space="preserve"> that protects FPY while enabling the pilot. He cleared all four of J.B. Hunt's concerns (FPY, driver detention, on-time/NCNS, pricing) and drove the account active on 5/1. He shipped a weekly pilot candidate load selector, matching each site's live capacity against scheduled live-ISA counts.</w:t>
      </w:r>
    </w:p>
    <w:p>
      <w:r>
        <w:t xml:space="preserve">The pilot launched WK20 and has executed live conversions since (XMI3, HIA1, GEU2 received), against a locked four-KPI scorecard (FPY ≤0.5% degradation, driver-detention ≤$577K, MDP ≥0.25d per converted appointment, volume ≤2% of drops) and a conservative 2026 target of </w:t>
      </w:r>
      <w:r>
        <w:rPr>
          <w:b/>
        </w:rPr>
        <w:t>$2.25M</w:t>
      </w:r>
      <w:r>
        <w:t xml:space="preserve"> pending the scalability read-out.</w:t>
      </w:r>
    </w:p>
    <w:p>
      <w:r>
        <w:rPr>
          <w:b/>
        </w:rPr>
        <w:t>Leadership Principles demonstrated:</w:t>
      </w:r>
      <w:r>
        <w:t xml:space="preserve"> Bias for Action, Earn Trust</w:t>
      </w:r>
    </w:p>
    <w:p>
      <w:r>
        <w:rPr>
          <w:i/>
        </w:rPr>
        <w:t>Role guideline: "You liaise between cross-functional teams as a primary escalation point to formulate solutions for operational problems."</w:t>
      </w:r>
    </w:p>
    <w:p>
      <w:pPr>
        <w:pStyle w:val="Heading1"/>
      </w:pPr>
      <w:r>
        <w:t>Summary</w:t>
      </w:r>
    </w:p>
    <w:p>
      <w:r>
        <w:t>Beyond the deliverables above, William continues to develop shared tooling that scales across the team. Although he has no direct reports, he invests in developing teammates in partnership with the team's people managers — holding training sessions and serving as an open resource, in particular as the team's non-technical GenAI SME. He also directly upskills an L4H on the team through hands-on review-loop mentoring toward covering tactical rIXD redirect-execution management.</w:t>
      </w:r>
    </w:p>
    <w:p>
      <w:pPr>
        <w:pStyle w:val="Heading1"/>
      </w:pPr>
      <w:r>
        <w:t>Readiness for L5 Scope</w:t>
      </w:r>
    </w:p>
    <w:p>
      <w:r>
        <w:t xml:space="preserve">William's record meets the "Moving to L5" criteria in the Supply Chain Manager Role Guideline: </w:t>
      </w:r>
      <w:r>
        <w:rPr>
          <w:b/>
        </w:rPr>
        <w:t>creating and delivering short-term solutions with limited guidance and determining when he can handle or needs to escalate</w:t>
      </w:r>
      <w:r>
        <w:t xml:space="preserve"> (Example 3) — including declining redirects the backlog data does not warrant tying up AZNG resources for, holding that position with data even when the ask comes from senior stakeholders; </w:t>
      </w:r>
      <w:r>
        <w:rPr>
          <w:b/>
        </w:rPr>
        <w:t>asking the right questions and providing recommendations to identify risk and foster shared understanding</w:t>
      </w:r>
      <w:r>
        <w:t xml:space="preserve"> (Examples 2 and 4); and </w:t>
      </w:r>
      <w:r>
        <w:rPr>
          <w:b/>
        </w:rPr>
        <w:t>collaborating with stakeholders to deliver high-quality consistent results, liaising between cross-functional teams as a primary escalation point</w:t>
      </w:r>
      <w:r>
        <w:t xml:space="preserve"> (Examples 1 and 5).</w:t>
      </w:r>
    </w:p>
    <w:p>
      <w:r>
        <w:t>He has built recurring cost discipline into standard operations — a restructured 3P-IM rate standard (</w:t>
      </w:r>
      <w:r>
        <w:rPr>
          <w:b/>
        </w:rPr>
        <w:t>$229K annualized</w:t>
      </w:r>
      <w:r>
        <w:t>), the AZIM midstream reroute lever (</w:t>
      </w:r>
      <w:r>
        <w:rPr>
          <w:b/>
        </w:rPr>
        <w:t>~$150K realized since WK24, ~$930K EOY pace / ~$1.3M full-year run-rate</w:t>
      </w:r>
      <w:r>
        <w:t>), the standardized OB NTI origin flip (</w:t>
      </w:r>
      <w:r>
        <w:rPr>
          <w:b/>
        </w:rPr>
        <w:t>~$570K estimated, Feb–Jul</w:t>
      </w:r>
      <w:r>
        <w:t>), and the TOFC mechanism (</w:t>
      </w:r>
      <w:r>
        <w:rPr>
          <w:b/>
        </w:rPr>
        <w:t>~$685K estimated across its 2026 escalations</w:t>
      </w:r>
      <w:r>
        <w:t xml:space="preserve">) — alongside an estimated </w:t>
      </w:r>
      <w:r>
        <w:rPr>
          <w:b/>
        </w:rPr>
        <w:t>~500 manager-hours a year returned</w:t>
      </w:r>
      <w:r>
        <w:t xml:space="preserve"> through GenAI automation, all while sustaining daily reactive operations. The organization already operates as though the scope is L5: William is recognized as the redirect-execution SME and is routinely the named action owner alongside L6+ leaders in escalations and cross-functional workstreams.</w:t>
      </w:r>
    </w:p>
    <w:p>
      <w:r>
        <w:t>The proposed L5 role formalizes that scope and extends it in four directions:</w:t>
      </w:r>
    </w:p>
    <w:p>
      <w:r>
        <w:t xml:space="preserve">1. </w:t>
      </w:r>
      <w:r>
        <w:rPr>
          <w:b/>
        </w:rPr>
        <w:t>Multi-network strategic levers.</w:t>
      </w:r>
      <w:r>
        <w:t xml:space="preserve"> </w:t>
      </w:r>
      <w:r>
        <w:rPr>
          <w:b/>
        </w:rPr>
        <w:t>3P Rate Matrix Expansion to HUBG and PGLI</w:t>
      </w:r>
      <w:r>
        <w:t xml:space="preserve"> (a Q3 2026 goal) is the next build — eliminating 95%+ of manual rate requests and cutting annual rate-request wait from ~200 hours to under 50.</w:t>
      </w:r>
    </w:p>
    <w:p>
      <w:r>
        <w:t xml:space="preserve">2. </w:t>
      </w:r>
      <w:r>
        <w:rPr>
          <w:b/>
        </w:rPr>
        <w:t>Codified judgment as scalable team tooling.</w:t>
      </w:r>
      <w:r>
        <w:t xml:space="preserve"> Extending Example 2's pattern across the rest of reactive steering — e.g., as business owner for the redirectable and lever dashboards.</w:t>
      </w:r>
    </w:p>
    <w:p>
      <w:r>
        <w:t xml:space="preserve">3. </w:t>
      </w:r>
      <w:r>
        <w:rPr>
          <w:b/>
        </w:rPr>
        <w:t>Scaling the HJBI Drop-to-Live pilot to entitlement.</w:t>
      </w:r>
      <w:r>
        <w:t xml:space="preserve"> Concluding Example 5's pilot against its KPI scorecard and, if the model holds, scaling from the $2.25M 2026 target toward the full $22.5M opportunity across other drop-constrained carriers.</w:t>
      </w:r>
    </w:p>
    <w:p>
      <w:r>
        <w:t xml:space="preserve">4. </w:t>
      </w:r>
      <w:r>
        <w:rPr>
          <w:b/>
        </w:rPr>
        <w:t>Network-wide redirect standards and new network execution.</w:t>
      </w:r>
      <w:r>
        <w:t xml:space="preserve"> William is designing and executing redirects into networks that don't yet run on their own: pre-launch NVF test freight into the launching RDC network (IMO1, ITX3) and special-project support for SDC sites (HGR5, QXX6).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