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Propositions de resserrement du mémoire</w:t>
      </w:r>
    </w:p>
    <w:p>
      <w:pPr>
        <w:spacing w:after="120" w:line="300"/>
        <w:jc w:val="center"/>
      </w:pPr>
      <w:r>
        <w:rPr>
          <w:rFonts w:ascii="Times New Roman" w:cs="Times New Roman" w:eastAsia="Times New Roman" w:hAnsi="Times New Roman"/>
          <w:b w:val="false"/>
          <w:bCs w:val="false"/>
          <w:i/>
          <w:iCs/>
          <w:sz w:val="22"/>
          <w:szCs w:val="22"/>
        </w:rPr>
        <w:t xml:space="preserve">Document de travail — rien n’a été modifié dans Memoire_CMS_SARIS.docx.</w:t>
      </w:r>
    </w:p>
    <w:p>
      <w:pPr>
        <w:spacing w:after="120" w:line="300"/>
        <w:jc w:val="both"/>
      </w:pPr>
      <w:r>
        <w:rPr>
          <w:rFonts w:ascii="Times New Roman" w:cs="Times New Roman" w:eastAsia="Times New Roman" w:hAnsi="Times New Roman"/>
          <w:b w:val="false"/>
          <w:bCs w:val="false"/>
          <w:i w:val="false"/>
          <w:iCs w:val="false"/>
          <w:sz w:val="22"/>
          <w:szCs w:val="22"/>
        </w:rPr>
        <w:t xml:space="preserve">Ce document rassemble toutes les modifications préparées selon le plan de resserrement. Pour chaque paragraphe, le texte actuel figure sur fond gris (« Avant »), le texte proposé sur fond vert (« Après »). Aucun chiffre, aucune source, aucune règle métier et aucun aveu de limite n’a été retiré : ils ont été vérifiés un par un par comparaison automatique.</w:t>
      </w:r>
    </w:p>
    <w:p>
      <w:pPr>
        <w:pStyle w:val="Heading1"/>
        <w:spacing w:after="120" w:before="240"/>
      </w:pPr>
      <w:r>
        <w:rPr>
          <w:rFonts w:ascii="Times New Roman" w:cs="Times New Roman" w:eastAsia="Times New Roman" w:hAnsi="Times New Roman"/>
          <w:b/>
          <w:bCs/>
          <w:sz w:val="30"/>
          <w:szCs w:val="30"/>
        </w:rPr>
        <w:t xml:space="preserve">Synthèse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700"/>
        <w:gridCol w:w="1250"/>
        <w:gridCol w:w="1250"/>
      </w:tblGrid>
      <w:tr>
        <w:tc>
          <w:tcPr>
            <w:tcW w:type="dxa" w:w="4826"/>
            <w:shd w:fill="D9E2F3" w:color="auto" w:val="clear"/>
          </w:tcPr>
          <w:p>
            <w:r>
              <w:rPr>
                <w:rFonts w:ascii="Times New Roman" w:cs="Times New Roman" w:eastAsia="Times New Roman" w:hAnsi="Times New Roman"/>
                <w:b/>
                <w:bCs/>
                <w:sz w:val="20"/>
                <w:szCs w:val="20"/>
              </w:rPr>
              <w:t xml:space="preserve">Partie</w:t>
            </w:r>
          </w:p>
        </w:tc>
        <w:tc>
          <w:tcPr>
            <w:tcW w:type="dxa" w:w="1700"/>
            <w:shd w:fill="D9E2F3" w:color="auto" w:val="clear"/>
          </w:tcPr>
          <w:p>
            <w:r>
              <w:rPr>
                <w:rFonts w:ascii="Times New Roman" w:cs="Times New Roman" w:eastAsia="Times New Roman" w:hAnsi="Times New Roman"/>
                <w:b/>
                <w:bCs/>
                <w:sz w:val="20"/>
                <w:szCs w:val="20"/>
              </w:rPr>
              <w:t xml:space="preserve">Paragraphes</w:t>
            </w:r>
          </w:p>
        </w:tc>
        <w:tc>
          <w:tcPr>
            <w:tcW w:type="dxa" w:w="1250"/>
            <w:shd w:fill="D9E2F3" w:color="auto" w:val="clear"/>
          </w:tcPr>
          <w:p>
            <w:r>
              <w:rPr>
                <w:rFonts w:ascii="Times New Roman" w:cs="Times New Roman" w:eastAsia="Times New Roman" w:hAnsi="Times New Roman"/>
                <w:b/>
                <w:bCs/>
                <w:sz w:val="20"/>
                <w:szCs w:val="20"/>
              </w:rPr>
              <w:t xml:space="preserve">Mots avant</w:t>
            </w:r>
          </w:p>
        </w:tc>
        <w:tc>
          <w:tcPr>
            <w:tcW w:type="dxa" w:w="1250"/>
            <w:shd w:fill="D9E2F3" w:color="auto" w:val="clear"/>
          </w:tcPr>
          <w:p>
            <w:r>
              <w:rPr>
                <w:rFonts w:ascii="Times New Roman" w:cs="Times New Roman" w:eastAsia="Times New Roman" w:hAnsi="Times New Roman"/>
                <w:b/>
                <w:bCs/>
                <w:sz w:val="20"/>
                <w:szCs w:val="20"/>
              </w:rPr>
              <w:t xml:space="preserve">Mots après</w:t>
            </w:r>
          </w:p>
        </w:tc>
      </w:tr>
      <w:tr>
        <w:tc>
          <w:tcPr>
            <w:tcW w:type="dxa" w:w="4826"/>
          </w:tcPr>
          <w:p>
            <w:r>
              <w:rPr>
                <w:rFonts w:ascii="Times New Roman" w:cs="Times New Roman" w:eastAsia="Times New Roman" w:hAnsi="Times New Roman"/>
                <w:b w:val="false"/>
                <w:bCs w:val="false"/>
                <w:sz w:val="20"/>
                <w:szCs w:val="20"/>
              </w:rPr>
              <w:t xml:space="preserve">INTRODUCTION GÉNÉRALE</w:t>
            </w:r>
          </w:p>
        </w:tc>
        <w:tc>
          <w:tcPr>
            <w:tcW w:type="dxa" w:w="1700"/>
          </w:tcPr>
          <w:p>
            <w:r>
              <w:rPr>
                <w:rFonts w:ascii="Times New Roman" w:cs="Times New Roman" w:eastAsia="Times New Roman" w:hAnsi="Times New Roman"/>
                <w:b w:val="false"/>
                <w:bCs w:val="false"/>
                <w:sz w:val="20"/>
                <w:szCs w:val="20"/>
              </w:rPr>
              <w:t xml:space="preserve">7</w:t>
            </w:r>
          </w:p>
        </w:tc>
        <w:tc>
          <w:tcPr>
            <w:tcW w:type="dxa" w:w="1250"/>
          </w:tcPr>
          <w:p>
            <w:r>
              <w:rPr>
                <w:rFonts w:ascii="Times New Roman" w:cs="Times New Roman" w:eastAsia="Times New Roman" w:hAnsi="Times New Roman"/>
                <w:b w:val="false"/>
                <w:bCs w:val="false"/>
                <w:sz w:val="20"/>
                <w:szCs w:val="20"/>
              </w:rPr>
              <w:t xml:space="preserve">587</w:t>
            </w:r>
          </w:p>
        </w:tc>
        <w:tc>
          <w:tcPr>
            <w:tcW w:type="dxa" w:w="1250"/>
          </w:tcPr>
          <w:p>
            <w:r>
              <w:rPr>
                <w:rFonts w:ascii="Times New Roman" w:cs="Times New Roman" w:eastAsia="Times New Roman" w:hAnsi="Times New Roman"/>
                <w:b w:val="false"/>
                <w:bCs w:val="false"/>
                <w:sz w:val="20"/>
                <w:szCs w:val="20"/>
              </w:rPr>
              <w:t xml:space="preserve">524</w:t>
            </w:r>
          </w:p>
        </w:tc>
      </w:tr>
      <w:tr>
        <w:tc>
          <w:tcPr>
            <w:tcW w:type="dxa" w:w="4826"/>
          </w:tcPr>
          <w:p>
            <w:r>
              <w:rPr>
                <w:rFonts w:ascii="Times New Roman" w:cs="Times New Roman" w:eastAsia="Times New Roman" w:hAnsi="Times New Roman"/>
                <w:b w:val="false"/>
                <w:bCs w:val="false"/>
                <w:sz w:val="20"/>
                <w:szCs w:val="20"/>
              </w:rPr>
              <w:t xml:space="preserve">CHAPITRE 1 — PRÉSENTATION DE LA STRUCTURE D’ACCUEIL</w:t>
            </w:r>
          </w:p>
        </w:tc>
        <w:tc>
          <w:tcPr>
            <w:tcW w:type="dxa" w:w="1700"/>
          </w:tcPr>
          <w:p>
            <w:r>
              <w:rPr>
                <w:rFonts w:ascii="Times New Roman" w:cs="Times New Roman" w:eastAsia="Times New Roman" w:hAnsi="Times New Roman"/>
                <w:b w:val="false"/>
                <w:bCs w:val="false"/>
                <w:sz w:val="20"/>
                <w:szCs w:val="20"/>
              </w:rPr>
              <w:t xml:space="preserve">14</w:t>
            </w:r>
          </w:p>
        </w:tc>
        <w:tc>
          <w:tcPr>
            <w:tcW w:type="dxa" w:w="1250"/>
          </w:tcPr>
          <w:p>
            <w:r>
              <w:rPr>
                <w:rFonts w:ascii="Times New Roman" w:cs="Times New Roman" w:eastAsia="Times New Roman" w:hAnsi="Times New Roman"/>
                <w:b w:val="false"/>
                <w:bCs w:val="false"/>
                <w:sz w:val="20"/>
                <w:szCs w:val="20"/>
              </w:rPr>
              <w:t xml:space="preserve">911</w:t>
            </w:r>
          </w:p>
        </w:tc>
        <w:tc>
          <w:tcPr>
            <w:tcW w:type="dxa" w:w="1250"/>
          </w:tcPr>
          <w:p>
            <w:r>
              <w:rPr>
                <w:rFonts w:ascii="Times New Roman" w:cs="Times New Roman" w:eastAsia="Times New Roman" w:hAnsi="Times New Roman"/>
                <w:b w:val="false"/>
                <w:bCs w:val="false"/>
                <w:sz w:val="20"/>
                <w:szCs w:val="20"/>
              </w:rPr>
              <w:t xml:space="preserve">755</w:t>
            </w:r>
          </w:p>
        </w:tc>
      </w:tr>
      <w:tr>
        <w:tc>
          <w:tcPr>
            <w:tcW w:type="dxa" w:w="4826"/>
          </w:tcPr>
          <w:p>
            <w:r>
              <w:rPr>
                <w:rFonts w:ascii="Times New Roman" w:cs="Times New Roman" w:eastAsia="Times New Roman" w:hAnsi="Times New Roman"/>
                <w:b w:val="false"/>
                <w:bCs w:val="false"/>
                <w:sz w:val="20"/>
                <w:szCs w:val="20"/>
              </w:rPr>
              <w:t xml:space="preserve">CHAPITRE 2 — DOMAINE D’ÉTUDE : LE SYSTÈME D’INFORMATION MÉDICAL</w:t>
            </w:r>
          </w:p>
        </w:tc>
        <w:tc>
          <w:tcPr>
            <w:tcW w:type="dxa" w:w="1700"/>
          </w:tcPr>
          <w:p>
            <w:r>
              <w:rPr>
                <w:rFonts w:ascii="Times New Roman" w:cs="Times New Roman" w:eastAsia="Times New Roman" w:hAnsi="Times New Roman"/>
                <w:b w:val="false"/>
                <w:bCs w:val="false"/>
                <w:sz w:val="20"/>
                <w:szCs w:val="20"/>
              </w:rPr>
              <w:t xml:space="preserve">31</w:t>
            </w:r>
          </w:p>
        </w:tc>
        <w:tc>
          <w:tcPr>
            <w:tcW w:type="dxa" w:w="1250"/>
          </w:tcPr>
          <w:p>
            <w:r>
              <w:rPr>
                <w:rFonts w:ascii="Times New Roman" w:cs="Times New Roman" w:eastAsia="Times New Roman" w:hAnsi="Times New Roman"/>
                <w:b w:val="false"/>
                <w:bCs w:val="false"/>
                <w:sz w:val="20"/>
                <w:szCs w:val="20"/>
              </w:rPr>
              <w:t xml:space="preserve">2066</w:t>
            </w:r>
          </w:p>
        </w:tc>
        <w:tc>
          <w:tcPr>
            <w:tcW w:type="dxa" w:w="1250"/>
          </w:tcPr>
          <w:p>
            <w:r>
              <w:rPr>
                <w:rFonts w:ascii="Times New Roman" w:cs="Times New Roman" w:eastAsia="Times New Roman" w:hAnsi="Times New Roman"/>
                <w:b w:val="false"/>
                <w:bCs w:val="false"/>
                <w:sz w:val="20"/>
                <w:szCs w:val="20"/>
              </w:rPr>
              <w:t xml:space="preserve">1919</w:t>
            </w:r>
          </w:p>
        </w:tc>
      </w:tr>
      <w:tr>
        <w:tc>
          <w:tcPr>
            <w:tcW w:type="dxa" w:w="4826"/>
          </w:tcPr>
          <w:p>
            <w:r>
              <w:rPr>
                <w:rFonts w:ascii="Times New Roman" w:cs="Times New Roman" w:eastAsia="Times New Roman" w:hAnsi="Times New Roman"/>
                <w:b w:val="false"/>
                <w:bCs w:val="false"/>
                <w:sz w:val="20"/>
                <w:szCs w:val="20"/>
              </w:rPr>
              <w:t xml:space="preserve">CHAPITRE 3 — DÉMARCHE MÉTHODOLOGIQUE : 2TUP COUPLÉ À UML</w:t>
            </w:r>
          </w:p>
        </w:tc>
        <w:tc>
          <w:tcPr>
            <w:tcW w:type="dxa" w:w="1700"/>
          </w:tcPr>
          <w:p>
            <w:r>
              <w:rPr>
                <w:rFonts w:ascii="Times New Roman" w:cs="Times New Roman" w:eastAsia="Times New Roman" w:hAnsi="Times New Roman"/>
                <w:b w:val="false"/>
                <w:bCs w:val="false"/>
                <w:sz w:val="20"/>
                <w:szCs w:val="20"/>
              </w:rPr>
              <w:t xml:space="preserve">27</w:t>
            </w:r>
          </w:p>
        </w:tc>
        <w:tc>
          <w:tcPr>
            <w:tcW w:type="dxa" w:w="1250"/>
          </w:tcPr>
          <w:p>
            <w:r>
              <w:rPr>
                <w:rFonts w:ascii="Times New Roman" w:cs="Times New Roman" w:eastAsia="Times New Roman" w:hAnsi="Times New Roman"/>
                <w:b w:val="false"/>
                <w:bCs w:val="false"/>
                <w:sz w:val="20"/>
                <w:szCs w:val="20"/>
              </w:rPr>
              <w:t xml:space="preserve">1897</w:t>
            </w:r>
          </w:p>
        </w:tc>
        <w:tc>
          <w:tcPr>
            <w:tcW w:type="dxa" w:w="1250"/>
          </w:tcPr>
          <w:p>
            <w:r>
              <w:rPr>
                <w:rFonts w:ascii="Times New Roman" w:cs="Times New Roman" w:eastAsia="Times New Roman" w:hAnsi="Times New Roman"/>
                <w:b w:val="false"/>
                <w:bCs w:val="false"/>
                <w:sz w:val="20"/>
                <w:szCs w:val="20"/>
              </w:rPr>
              <w:t xml:space="preserve">1699</w:t>
            </w:r>
          </w:p>
        </w:tc>
      </w:tr>
      <w:tr>
        <w:tc>
          <w:tcPr>
            <w:tcW w:type="dxa" w:w="4826"/>
          </w:tcPr>
          <w:p>
            <w:r>
              <w:rPr>
                <w:rFonts w:ascii="Times New Roman" w:cs="Times New Roman" w:eastAsia="Times New Roman" w:hAnsi="Times New Roman"/>
                <w:b w:val="false"/>
                <w:bCs w:val="false"/>
                <w:sz w:val="20"/>
                <w:szCs w:val="20"/>
              </w:rPr>
              <w:t xml:space="preserve">CHAPITRE 4 — ÉTUDE DE L’EXISTANT</w:t>
            </w:r>
          </w:p>
        </w:tc>
        <w:tc>
          <w:tcPr>
            <w:tcW w:type="dxa" w:w="1700"/>
          </w:tcPr>
          <w:p>
            <w:r>
              <w:rPr>
                <w:rFonts w:ascii="Times New Roman" w:cs="Times New Roman" w:eastAsia="Times New Roman" w:hAnsi="Times New Roman"/>
                <w:b w:val="false"/>
                <w:bCs w:val="false"/>
                <w:sz w:val="20"/>
                <w:szCs w:val="20"/>
              </w:rPr>
              <w:t xml:space="preserve">36</w:t>
            </w:r>
          </w:p>
        </w:tc>
        <w:tc>
          <w:tcPr>
            <w:tcW w:type="dxa" w:w="1250"/>
          </w:tcPr>
          <w:p>
            <w:r>
              <w:rPr>
                <w:rFonts w:ascii="Times New Roman" w:cs="Times New Roman" w:eastAsia="Times New Roman" w:hAnsi="Times New Roman"/>
                <w:b w:val="false"/>
                <w:bCs w:val="false"/>
                <w:sz w:val="20"/>
                <w:szCs w:val="20"/>
              </w:rPr>
              <w:t xml:space="preserve">2275</w:t>
            </w:r>
          </w:p>
        </w:tc>
        <w:tc>
          <w:tcPr>
            <w:tcW w:type="dxa" w:w="1250"/>
          </w:tcPr>
          <w:p>
            <w:r>
              <w:rPr>
                <w:rFonts w:ascii="Times New Roman" w:cs="Times New Roman" w:eastAsia="Times New Roman" w:hAnsi="Times New Roman"/>
                <w:b w:val="false"/>
                <w:bCs w:val="false"/>
                <w:sz w:val="20"/>
                <w:szCs w:val="20"/>
              </w:rPr>
              <w:t xml:space="preserve">1941</w:t>
            </w:r>
          </w:p>
        </w:tc>
      </w:tr>
      <w:tr>
        <w:tc>
          <w:tcPr>
            <w:tcW w:type="dxa" w:w="4826"/>
          </w:tcPr>
          <w:p>
            <w:r>
              <w:rPr>
                <w:rFonts w:ascii="Times New Roman" w:cs="Times New Roman" w:eastAsia="Times New Roman" w:hAnsi="Times New Roman"/>
                <w:b w:val="false"/>
                <w:bCs w:val="false"/>
                <w:sz w:val="20"/>
                <w:szCs w:val="20"/>
              </w:rPr>
              <w:t xml:space="preserve">CHAPITRE 5 — ANALYSE ET SPÉCIFICATION DES BESOINS</w:t>
            </w:r>
          </w:p>
        </w:tc>
        <w:tc>
          <w:tcPr>
            <w:tcW w:type="dxa" w:w="1700"/>
          </w:tcPr>
          <w:p>
            <w:r>
              <w:rPr>
                <w:rFonts w:ascii="Times New Roman" w:cs="Times New Roman" w:eastAsia="Times New Roman" w:hAnsi="Times New Roman"/>
                <w:b w:val="false"/>
                <w:bCs w:val="false"/>
                <w:sz w:val="20"/>
                <w:szCs w:val="20"/>
              </w:rPr>
              <w:t xml:space="preserve">26</w:t>
            </w:r>
          </w:p>
        </w:tc>
        <w:tc>
          <w:tcPr>
            <w:tcW w:type="dxa" w:w="1250"/>
          </w:tcPr>
          <w:p>
            <w:r>
              <w:rPr>
                <w:rFonts w:ascii="Times New Roman" w:cs="Times New Roman" w:eastAsia="Times New Roman" w:hAnsi="Times New Roman"/>
                <w:b w:val="false"/>
                <w:bCs w:val="false"/>
                <w:sz w:val="20"/>
                <w:szCs w:val="20"/>
              </w:rPr>
              <w:t xml:space="preserve">1520</w:t>
            </w:r>
          </w:p>
        </w:tc>
        <w:tc>
          <w:tcPr>
            <w:tcW w:type="dxa" w:w="1250"/>
          </w:tcPr>
          <w:p>
            <w:r>
              <w:rPr>
                <w:rFonts w:ascii="Times New Roman" w:cs="Times New Roman" w:eastAsia="Times New Roman" w:hAnsi="Times New Roman"/>
                <w:b w:val="false"/>
                <w:bCs w:val="false"/>
                <w:sz w:val="20"/>
                <w:szCs w:val="20"/>
              </w:rPr>
              <w:t xml:space="preserve">1244</w:t>
            </w:r>
          </w:p>
        </w:tc>
      </w:tr>
      <w:tr>
        <w:tc>
          <w:tcPr>
            <w:tcW w:type="dxa" w:w="4826"/>
          </w:tcPr>
          <w:p>
            <w:r>
              <w:rPr>
                <w:rFonts w:ascii="Times New Roman" w:cs="Times New Roman" w:eastAsia="Times New Roman" w:hAnsi="Times New Roman"/>
                <w:b w:val="false"/>
                <w:bCs w:val="false"/>
                <w:sz w:val="20"/>
                <w:szCs w:val="20"/>
              </w:rPr>
              <w:t xml:space="preserve">CHAPITRE 6 — ARCHITECTURE TECHNIQUE DU SYSTÈME</w:t>
            </w:r>
          </w:p>
        </w:tc>
        <w:tc>
          <w:tcPr>
            <w:tcW w:type="dxa" w:w="1700"/>
          </w:tcPr>
          <w:p>
            <w:r>
              <w:rPr>
                <w:rFonts w:ascii="Times New Roman" w:cs="Times New Roman" w:eastAsia="Times New Roman" w:hAnsi="Times New Roman"/>
                <w:b w:val="false"/>
                <w:bCs w:val="false"/>
                <w:sz w:val="20"/>
                <w:szCs w:val="20"/>
              </w:rPr>
              <w:t xml:space="preserve">3</w:t>
            </w:r>
          </w:p>
        </w:tc>
        <w:tc>
          <w:tcPr>
            <w:tcW w:type="dxa" w:w="1250"/>
          </w:tcPr>
          <w:p>
            <w:r>
              <w:rPr>
                <w:rFonts w:ascii="Times New Roman" w:cs="Times New Roman" w:eastAsia="Times New Roman" w:hAnsi="Times New Roman"/>
                <w:b w:val="false"/>
                <w:bCs w:val="false"/>
                <w:sz w:val="20"/>
                <w:szCs w:val="20"/>
              </w:rPr>
              <w:t xml:space="preserve">12</w:t>
            </w:r>
          </w:p>
        </w:tc>
        <w:tc>
          <w:tcPr>
            <w:tcW w:type="dxa" w:w="1250"/>
          </w:tcPr>
          <w:p>
            <w:r>
              <w:rPr>
                <w:rFonts w:ascii="Times New Roman" w:cs="Times New Roman" w:eastAsia="Times New Roman" w:hAnsi="Times New Roman"/>
                <w:b w:val="false"/>
                <w:bCs w:val="false"/>
                <w:sz w:val="20"/>
                <w:szCs w:val="20"/>
              </w:rPr>
              <w:t xml:space="preserve">12</w:t>
            </w:r>
          </w:p>
        </w:tc>
      </w:tr>
      <w:tr>
        <w:tc>
          <w:tcPr>
            <w:tcW w:type="dxa" w:w="4826"/>
          </w:tcPr>
          <w:p>
            <w:r>
              <w:rPr>
                <w:rFonts w:ascii="Times New Roman" w:cs="Times New Roman" w:eastAsia="Times New Roman" w:hAnsi="Times New Roman"/>
                <w:b w:val="false"/>
                <w:bCs w:val="false"/>
                <w:sz w:val="20"/>
                <w:szCs w:val="20"/>
              </w:rPr>
              <w:t xml:space="preserve">CHAPITRE 7 — CONCEPTION DÉTAILLÉE ET IMPLÉMENTATION</w:t>
            </w:r>
          </w:p>
        </w:tc>
        <w:tc>
          <w:tcPr>
            <w:tcW w:type="dxa" w:w="1700"/>
          </w:tcPr>
          <w:p>
            <w:r>
              <w:rPr>
                <w:rFonts w:ascii="Times New Roman" w:cs="Times New Roman" w:eastAsia="Times New Roman" w:hAnsi="Times New Roman"/>
                <w:b w:val="false"/>
                <w:bCs w:val="false"/>
                <w:sz w:val="20"/>
                <w:szCs w:val="20"/>
              </w:rPr>
              <w:t xml:space="preserve">42</w:t>
            </w:r>
          </w:p>
        </w:tc>
        <w:tc>
          <w:tcPr>
            <w:tcW w:type="dxa" w:w="1250"/>
          </w:tcPr>
          <w:p>
            <w:r>
              <w:rPr>
                <w:rFonts w:ascii="Times New Roman" w:cs="Times New Roman" w:eastAsia="Times New Roman" w:hAnsi="Times New Roman"/>
                <w:b w:val="false"/>
                <w:bCs w:val="false"/>
                <w:sz w:val="20"/>
                <w:szCs w:val="20"/>
              </w:rPr>
              <w:t xml:space="preserve">3361</w:t>
            </w:r>
          </w:p>
        </w:tc>
        <w:tc>
          <w:tcPr>
            <w:tcW w:type="dxa" w:w="1250"/>
          </w:tcPr>
          <w:p>
            <w:r>
              <w:rPr>
                <w:rFonts w:ascii="Times New Roman" w:cs="Times New Roman" w:eastAsia="Times New Roman" w:hAnsi="Times New Roman"/>
                <w:b w:val="false"/>
                <w:bCs w:val="false"/>
                <w:sz w:val="20"/>
                <w:szCs w:val="20"/>
              </w:rPr>
              <w:t xml:space="preserve">2842</w:t>
            </w:r>
          </w:p>
        </w:tc>
      </w:tr>
      <w:tr>
        <w:tc>
          <w:tcPr>
            <w:tcW w:type="dxa" w:w="4826"/>
          </w:tcPr>
          <w:p>
            <w:r>
              <w:rPr>
                <w:rFonts w:ascii="Times New Roman" w:cs="Times New Roman" w:eastAsia="Times New Roman" w:hAnsi="Times New Roman"/>
                <w:b w:val="false"/>
                <w:bCs w:val="false"/>
                <w:sz w:val="20"/>
                <w:szCs w:val="20"/>
              </w:rPr>
              <w:t xml:space="preserve">CONCLUSION GÉNÉRALE</w:t>
            </w:r>
          </w:p>
        </w:tc>
        <w:tc>
          <w:tcPr>
            <w:tcW w:type="dxa" w:w="1700"/>
          </w:tcPr>
          <w:p>
            <w:r>
              <w:rPr>
                <w:rFonts w:ascii="Times New Roman" w:cs="Times New Roman" w:eastAsia="Times New Roman" w:hAnsi="Times New Roman"/>
                <w:b w:val="false"/>
                <w:bCs w:val="false"/>
                <w:sz w:val="20"/>
                <w:szCs w:val="20"/>
              </w:rPr>
              <w:t xml:space="preserve">11</w:t>
            </w:r>
          </w:p>
        </w:tc>
        <w:tc>
          <w:tcPr>
            <w:tcW w:type="dxa" w:w="1250"/>
          </w:tcPr>
          <w:p>
            <w:r>
              <w:rPr>
                <w:rFonts w:ascii="Times New Roman" w:cs="Times New Roman" w:eastAsia="Times New Roman" w:hAnsi="Times New Roman"/>
                <w:b w:val="false"/>
                <w:bCs w:val="false"/>
                <w:sz w:val="20"/>
                <w:szCs w:val="20"/>
              </w:rPr>
              <w:t xml:space="preserve">788</w:t>
            </w:r>
          </w:p>
        </w:tc>
        <w:tc>
          <w:tcPr>
            <w:tcW w:type="dxa" w:w="1250"/>
          </w:tcPr>
          <w:p>
            <w:r>
              <w:rPr>
                <w:rFonts w:ascii="Times New Roman" w:cs="Times New Roman" w:eastAsia="Times New Roman" w:hAnsi="Times New Roman"/>
                <w:b w:val="false"/>
                <w:bCs w:val="false"/>
                <w:sz w:val="20"/>
                <w:szCs w:val="20"/>
              </w:rPr>
              <w:t xml:space="preserve">695</w:t>
            </w:r>
          </w:p>
        </w:tc>
      </w:tr>
      <w:tr>
        <w:tc>
          <w:tcPr>
            <w:tcW w:type="dxa" w:w="4826"/>
          </w:tcPr>
          <w:p>
            <w:r>
              <w:rPr>
                <w:rFonts w:ascii="Times New Roman" w:cs="Times New Roman" w:eastAsia="Times New Roman" w:hAnsi="Times New Roman"/>
                <w:b/>
                <w:bCs/>
                <w:sz w:val="20"/>
                <w:szCs w:val="20"/>
              </w:rPr>
              <w:t xml:space="preserve">Total</w:t>
            </w:r>
          </w:p>
        </w:tc>
        <w:tc>
          <w:tcPr>
            <w:tcW w:type="dxa" w:w="1700"/>
          </w:tcPr>
          <w:p>
            <w:r>
              <w:rPr>
                <w:rFonts w:ascii="Times New Roman" w:cs="Times New Roman" w:eastAsia="Times New Roman" w:hAnsi="Times New Roman"/>
                <w:b/>
                <w:bCs/>
                <w:sz w:val="20"/>
                <w:szCs w:val="20"/>
              </w:rPr>
              <w:t xml:space="preserve">197</w:t>
            </w:r>
          </w:p>
        </w:tc>
        <w:tc>
          <w:tcPr>
            <w:tcW w:type="dxa" w:w="1250"/>
          </w:tcPr>
          <w:p>
            <w:r>
              <w:rPr>
                <w:rFonts w:ascii="Times New Roman" w:cs="Times New Roman" w:eastAsia="Times New Roman" w:hAnsi="Times New Roman"/>
                <w:b/>
                <w:bCs/>
                <w:sz w:val="20"/>
                <w:szCs w:val="20"/>
              </w:rPr>
              <w:t xml:space="preserve">13417</w:t>
            </w:r>
          </w:p>
        </w:tc>
        <w:tc>
          <w:tcPr>
            <w:tcW w:type="dxa" w:w="1250"/>
          </w:tcPr>
          <w:p>
            <w:r>
              <w:rPr>
                <w:rFonts w:ascii="Times New Roman" w:cs="Times New Roman" w:eastAsia="Times New Roman" w:hAnsi="Times New Roman"/>
                <w:b/>
                <w:bCs/>
                <w:sz w:val="20"/>
                <w:szCs w:val="20"/>
              </w:rPr>
              <w:t xml:space="preserve">11631</w:t>
            </w:r>
          </w:p>
        </w:tc>
      </w:tr>
    </w:tbl>
    <w:p>
      <w:pPr>
        <w:pStyle w:val="Heading1"/>
        <w:spacing w:after="120" w:before="240"/>
      </w:pPr>
      <w:r>
        <w:rPr>
          <w:rFonts w:ascii="Times New Roman" w:cs="Times New Roman" w:eastAsia="Times New Roman" w:hAnsi="Times New Roman"/>
          <w:b/>
          <w:bCs/>
          <w:sz w:val="30"/>
          <w:szCs w:val="30"/>
        </w:rPr>
        <w:t xml:space="preserve">Erreurs de fond découvertes en préparant</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Webographie : l’entrée Traore et alii se termine par « Disponible sur : » sans adresse. Adresse vérifiée et ajoutée : https://www.panafrican-med-journal.com/content/article/47/180/full/.</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Bibliographie et webographie : les références sont collées plusieurs par paragraphe au lieu d’une par ligne. Elles sont séparées.</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Conclusion générale : « Trois besoins du périmètre ne sont que partiellement satisfaits », alors que le tableau 5.3 et la même conclusion en comptent quatre. Corrigé en « quatre ».</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Conclusion générale : « Nous en avons rencontré quatre » (difficultés), alors que le § 7.8 en rapporte six. Corrigé en « quatre des six difficultés du § 7.8 ».</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 3.4 : « quelques dizaines de milliers de lignes », alors que le code en compte environ 122 000. Corrigé.</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 3.5 : le déploiement serait traité « dans la dernière section du chapitre 7 » ; c’est le § 7.7, la dernière section étant le § 7.8. Corrigé.</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 5.1.3 renvoie le temps de réponse « aux perspectives », qui n’en parlaient pas. La mesure des temps de réponse est ajoutée aux perspectives.</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 7.8 : les cinquième et sixième difficultés commençaient à la fin du paragraphe précédent. Chaque difficulté ouvre désormais son propre paragraphe.</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CIM-11 : présente en bibliographie mais jamais citée. Elle est citée au § 2.7, sans rien affirmer d’invérifiable sur le système. La retirer aurait fait tomber la bibliographie sous le minimum de huit références exigé par l’école.</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Service de géolocalisation : son rôle, déjà donné au tableau 5.4, est rappelé au § 7.2.</w:t>
      </w:r>
    </w:p>
    <w:p>
      <w:pPr>
        <w:pStyle w:val="Heading1"/>
        <w:spacing w:after="120" w:before="240"/>
      </w:pPr>
      <w:r>
        <w:rPr>
          <w:rFonts w:ascii="Times New Roman" w:cs="Times New Roman" w:eastAsia="Times New Roman" w:hAnsi="Times New Roman"/>
          <w:b/>
          <w:bCs/>
          <w:sz w:val="30"/>
          <w:szCs w:val="30"/>
        </w:rPr>
        <w:t xml:space="preserve">Choix faits en appliquant le plan</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Le « nous » d’auteur est conservé partout (décision D-35).</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Le chapitre 6 n’est pas resserré, comme le prévoit le plan : il reçoit au contraire la section 6.1 « Les contraintes techniques à satisfaire », et ses sections suivantes deviennent 6.2, 6.3 et 6.4.</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Les limites (tests, données manquantes) restent signalées à chaque endroit où le lecteur attend la donnée, en une phrase avec renvoi ; elles sont détaillées une seule fois, au § 4.1 pour le recueil et au § 7.6 pour les tests.</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La webographie est gardée : le plan de l’école l’exige, et la vider pour supprimer les doublons l’aurait laissée vide.</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Colonnes « État » des tableaux 4.6 et 4.7 : supprimées, conformément au plan validé du 21 septembre (« sans quoi ces colonnes devront être retirées plutôt que laissées vides »). La seule cellule remplie, « Inexistant », répétait « Aucune application, support papier ».</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Tableau 6.2 : « 17 modules métier » devient « 17 modules NestJS », et « 15 modules » devient « 15 modules d’interface », pour ne plus confondre ces nombres avec les douze modules fonctionnels du chapitre 5.</w:t>
      </w:r>
    </w:p>
    <w:p>
      <w:pPr>
        <w:spacing w:after="120" w:line="300"/>
        <w:ind w:left="200"/>
        <w:jc w:val="both"/>
      </w:pPr>
      <w:r>
        <w:rPr>
          <w:rFonts w:ascii="Times New Roman" w:cs="Times New Roman" w:eastAsia="Times New Roman" w:hAnsi="Times New Roman"/>
          <w:b w:val="false"/>
          <w:bCs w:val="false"/>
          <w:i w:val="false"/>
          <w:iCs w:val="false"/>
          <w:sz w:val="22"/>
          <w:szCs w:val="22"/>
        </w:rPr>
        <w:t xml:space="preserve">• L’extrait de code du § 7.4, son paragraphe d’introduction, son commentaire et les 22 lignes vides ne sont pas touchés.</w:t>
      </w:r>
    </w:p>
    <w:p>
      <w:pPr>
        <w:pStyle w:val="Heading1"/>
        <w:spacing w:after="120" w:before="240"/>
      </w:pPr>
      <w:r>
        <w:rPr>
          <w:rFonts w:ascii="Times New Roman" w:cs="Times New Roman" w:eastAsia="Times New Roman" w:hAnsi="Times New Roman"/>
          <w:b/>
          <w:bCs/>
          <w:sz w:val="30"/>
          <w:szCs w:val="30"/>
        </w:rPr>
        <w:t xml:space="preserve">Paragraphes ajoutés</w:t>
      </w:r>
    </w:p>
    <w:p>
      <w:pPr>
        <w:spacing w:after="120" w:line="300"/>
        <w:jc w:val="both"/>
      </w:pPr>
      <w:r>
        <w:rPr>
          <w:rFonts w:ascii="Times New Roman" w:cs="Times New Roman" w:eastAsia="Times New Roman" w:hAnsi="Times New Roman"/>
          <w:b/>
          <w:bCs/>
          <w:i w:val="false"/>
          <w:iCs w:val="false"/>
          <w:sz w:val="22"/>
          <w:szCs w:val="22"/>
        </w:rPr>
        <w:t xml:space="preserve">Fin du § 4.1 — les limites du recueil, regroupées :</w:t>
      </w:r>
    </w:p>
    <w:p>
      <w:pPr>
        <w:shd w:fill="E2EFDA" w:color="auto" w:val="clear"/>
        <w:spacing w:after="80" w:line="280"/>
        <w:jc w:val="both"/>
      </w:pPr>
      <w:r>
        <w:rPr>
          <w:rFonts w:ascii="Times New Roman" w:cs="Times New Roman" w:eastAsia="Times New Roman" w:hAnsi="Times New Roman"/>
          <w:b/>
          <w:bCs/>
          <w:sz w:val="20"/>
          <w:szCs w:val="20"/>
        </w:rPr>
        <w:t xml:space="preserve">Nouveau </w:t>
      </w:r>
      <w:r>
        <w:rPr>
          <w:rFonts w:ascii="Times New Roman" w:cs="Times New Roman" w:eastAsia="Times New Roman" w:hAnsi="Times New Roman"/>
          <w:sz w:val="20"/>
          <w:szCs w:val="20"/>
        </w:rPr>
        <w:t xml:space="preserve">Le recueil a aussi ses limites, que nous énonçons ici une fois pour toutes. Il n’a porté ni sur les effectifs chiffrés, ni sur les volumes d’activité, ni sur l’infrastructure réseau : topologie, équipements, liaison entre les sites et taux d’indisponibilité restent inconnus, tout comme les quantités et l’état du parc matériel. Les problèmes relevés n’y sont pas chiffrés : ni dossiers dupliqués, ni heures de dépouillement, ni fréquence des ruptures. Les procédures d’archivage et de sauvegarde n’y sont pas documentées. Ces lacunes sont rappelées là où elles comptent ; elles devront être comblées avant toute mise en service.</w:t>
      </w:r>
    </w:p>
    <w:p>
      <w:pPr>
        <w:spacing w:after="120" w:line="300"/>
        <w:jc w:val="both"/>
      </w:pPr>
      <w:r>
        <w:rPr>
          <w:rFonts w:ascii="Times New Roman" w:cs="Times New Roman" w:eastAsia="Times New Roman" w:hAnsi="Times New Roman"/>
          <w:b/>
          <w:bCs/>
          <w:i w:val="false"/>
          <w:iCs w:val="false"/>
          <w:sz w:val="22"/>
          <w:szCs w:val="22"/>
        </w:rPr>
        <w:t xml:space="preserve">Chapitre 6 — nouvelle section, placée avant l’actuelle 6.1 :</w:t>
      </w:r>
    </w:p>
    <w:p>
      <w:pPr>
        <w:shd w:fill="E2EFDA" w:color="auto" w:val="clear"/>
        <w:spacing w:after="80" w:line="280"/>
        <w:jc w:val="both"/>
      </w:pPr>
      <w:r>
        <w:rPr>
          <w:rFonts w:ascii="Times New Roman" w:cs="Times New Roman" w:eastAsia="Times New Roman" w:hAnsi="Times New Roman"/>
          <w:b/>
          <w:bCs/>
          <w:sz w:val="20"/>
          <w:szCs w:val="20"/>
        </w:rPr>
        <w:t xml:space="preserve">Titre </w:t>
      </w:r>
      <w:r>
        <w:rPr>
          <w:rFonts w:ascii="Times New Roman" w:cs="Times New Roman" w:eastAsia="Times New Roman" w:hAnsi="Times New Roman"/>
          <w:sz w:val="20"/>
          <w:szCs w:val="20"/>
        </w:rPr>
        <w:t xml:space="preserve">6.1 Les contraintes techniques à satisfaire</w:t>
      </w:r>
    </w:p>
    <w:p>
      <w:pPr>
        <w:shd w:fill="E2EFDA" w:color="auto" w:val="clear"/>
        <w:spacing w:after="80" w:line="280"/>
        <w:jc w:val="both"/>
      </w:pPr>
      <w:r>
        <w:rPr>
          <w:rFonts w:ascii="Times New Roman" w:cs="Times New Roman" w:eastAsia="Times New Roman" w:hAnsi="Times New Roman"/>
          <w:b/>
          <w:bCs/>
          <w:sz w:val="20"/>
          <w:szCs w:val="20"/>
        </w:rPr>
        <w:t xml:space="preserve">Nouveau </w:t>
      </w:r>
      <w:r>
        <w:rPr>
          <w:rFonts w:ascii="Times New Roman" w:cs="Times New Roman" w:eastAsia="Times New Roman" w:hAnsi="Times New Roman"/>
          <w:sz w:val="20"/>
          <w:szCs w:val="20"/>
        </w:rPr>
        <w:t xml:space="preserve">La branche technique commence par la capture des besoins techniques : les contraintes qu’impose l’environnement d’exploitation, indépendamment des fonctions à rendre. Le contexte du centre en fixe cinq.</w:t>
      </w:r>
    </w:p>
    <w:p>
      <w:pPr>
        <w:shd w:fill="E2EFDA" w:color="auto" w:val="clear"/>
        <w:spacing w:after="80" w:line="280"/>
        <w:jc w:val="both"/>
      </w:pPr>
      <w:r>
        <w:rPr>
          <w:rFonts w:ascii="Times New Roman" w:cs="Times New Roman" w:eastAsia="Times New Roman" w:hAnsi="Times New Roman"/>
          <w:b/>
          <w:bCs/>
          <w:sz w:val="20"/>
          <w:szCs w:val="20"/>
        </w:rPr>
        <w:t xml:space="preserve">Nouveau </w:t>
      </w:r>
      <w:r>
        <w:rPr>
          <w:rFonts w:ascii="Times New Roman" w:cs="Times New Roman" w:eastAsia="Times New Roman" w:hAnsi="Times New Roman"/>
          <w:sz w:val="20"/>
          <w:szCs w:val="20"/>
        </w:rPr>
        <w:t xml:space="preserve">Le système doit d’abord fonctionner sans connexion : la liaison entre les sites n’est ni fiable ni permanente, et le poste d’accueil est le plus exposé aux coupures (§ 2.3). Il doit ensuite partager les données entre les deux sites sans double saisie ni divergence, un même patient pouvant être reçu à Moutela puis à Nkayi (§ 2.4). Il doit protéger des données de santé au repos comme en transit, leur divulgation causant un préjudice direct. Il doit s’installer sur les postes Windows 10 et 11 du parc existant, sans droits d’administrateur (§ 4.5). Il doit enfin rester maintenable par une équipe de deux personnes.</w:t>
      </w:r>
    </w:p>
    <w:p>
      <w:pPr>
        <w:shd w:fill="E2EFDA" w:color="auto" w:val="clear"/>
        <w:spacing w:after="80" w:line="280"/>
        <w:jc w:val="both"/>
      </w:pPr>
      <w:r>
        <w:rPr>
          <w:rFonts w:ascii="Times New Roman" w:cs="Times New Roman" w:eastAsia="Times New Roman" w:hAnsi="Times New Roman"/>
          <w:b/>
          <w:bCs/>
          <w:sz w:val="20"/>
          <w:szCs w:val="20"/>
        </w:rPr>
        <w:t xml:space="preserve">Nouveau </w:t>
      </w:r>
      <w:r>
        <w:rPr>
          <w:rFonts w:ascii="Times New Roman" w:cs="Times New Roman" w:eastAsia="Times New Roman" w:hAnsi="Times New Roman"/>
          <w:sz w:val="20"/>
          <w:szCs w:val="20"/>
        </w:rPr>
        <w:t xml:space="preserve">Les sections suivantes montrent comment l’architecture applicative, l’architecture de sécurité et le moteur de synchronisation répondent à ces contraintes.</w:t>
      </w:r>
    </w:p>
    <w:p>
      <w:pPr>
        <w:pStyle w:val="Heading1"/>
        <w:spacing w:after="120" w:before="240"/>
      </w:pPr>
      <w:r>
        <w:rPr>
          <w:rFonts w:ascii="Times New Roman" w:cs="Times New Roman" w:eastAsia="Times New Roman" w:hAnsi="Times New Roman"/>
          <w:b/>
          <w:bCs/>
          <w:sz w:val="30"/>
          <w:szCs w:val="30"/>
        </w:rPr>
        <w:t xml:space="preserve">Paragraphes modifiés, chapitre par chapitre</w:t>
      </w:r>
    </w:p>
    <w:p>
      <w:pPr>
        <w:pStyle w:val="Heading2"/>
        <w:spacing w:after="120" w:before="240"/>
      </w:pPr>
      <w:r>
        <w:rPr>
          <w:rFonts w:ascii="Times New Roman" w:cs="Times New Roman" w:eastAsia="Times New Roman" w:hAnsi="Times New Roman"/>
          <w:b/>
          <w:bCs/>
          <w:sz w:val="24"/>
          <w:szCs w:val="24"/>
        </w:rPr>
        <w:t xml:space="preserve">INTRODUCTION GÉNÉRALE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Dans un centre de santé, l’information circule aussi vite que le soin : un antécédent oublié ; une allergie non consignée ; un dossier non retrouvé, chacune de ces ruptures a un coût. Et ce coût ne se mesure pas en heures perdues, mais en risque pour le patient. A cela s’ajoute une contrainte propre à notre contexte national : la valeur d’un outil informatique réside également dans sa capacité à rester fonctionnel en cas d’interruption de la connexion internet.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Dans un centre de santé, l’information circule aussi vite que le soin : un antécédent oublié, une allergie non consignée, un dossier non retrouvé ont chacun un coût. Ce coût ne se mesure pas en heures perdues, mais en risque pour le patient. S’y ajoute une contrainte propre à notre contexte national : un outil informatique ne vaut que s’il reste utilisable quand la connexion internet est coupée.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SARIS-CONGO est une entreprise sucrière implantée dans le département de la Bouenza. Son Centre Médico-Sanitaire assure les soins de premier recours sur deux sites distants, Moutela et Nkayi. Il prend en charge plusieurs agents, leurs ayants droit et les habitants du voisinage. Neuf statuts de patients y sont reconnus, chacun ouvrant des droits différents. Tous bénéficient de l’accès à la consultation. En revanche, seuls les employés en contrat à durée indéterminée et leurs ayants droit bénéficient d’une prise en charge des médicaments et des examens.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SARIS-CONGO est une entreprise sucrière implantée dans le département de la Bouenza. Son Centre Médico-Sanitaire assure les soins de premier recours sur deux sites distants, Moutela et Nkayi, pour les agents, leurs ayants droit et les habitants du voisinage. Neuf statuts de patients y sont reconnus. Tous ont accès à la consultation, mais seuls les employés en contrat à durée indéterminée et leurs ayants droit bénéficient de la prise en charge des médicaments et des examens.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Avant ce projet, la gestion reposait entièrement sur le papier et le tableur. Les entretiens de terrain ont établi trois constats. D’abord, aucun système ne reliait les deux sites. La consolidation était faite à la main par le Médecin Chef. Ensuite, la règle de prise en charge reposait sur un contrôle visuel du badge, donc sur la seule vigilance de l’agent. Enfin, les deux outils informatiques en usage avaient échoué : ils perdaient leurs données à chaque fermeture.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Avant ce projet, la gestion reposait sur le papier et le tableur. Les entretiens de terrain ont établi trois constats. Aucun système ne reliait les deux sites : le Médecin Chef consolidait les données à la main. La règle de prise en charge reposait sur un contrôle visuel du badge, donc sur la seule vigilance de l’agent. Enfin, les deux outils informatiques en usage avaient échoué : ils perdaient leurs données à chaque fermeture.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centre disposait pourtant d’un processus formalisé en quatre étapes. Ce qui manquait n’était donc pas la méthode, mais l’outil pour l’appliquer et en garder trace. Ces constats conduisent à la question centrale de ce travail. Comment concevoir et réaliser un système de gestion des consultations et des dossiers médicaux qui remplisse quatre conditions à la fois ? Tenir un seul dossier par patient sur les deux sites. Appliquer sans erreur les règles de prise en charge par catégorie. Garder la trace de chaque acte. Et continuer de fonctionner sans connexion réseau.</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centre disposait pourtant d’un processus formalisé en quatre étapes : il lui manquait l’outil pour l’appliquer et en garder trace. D’où la question centrale de ce travail : comment concevoir et réaliser un système qui tienne un dossier unique par patient sur les deux sites, applique sans erreur les règles de prise en charge, garde la trace de chaque acte et continue de fonctionner sans réseau ?</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Notre objectif général est de concevoir et de réaliser ce système. Il doit couvrir tout le parcours de soin, de l’accueil du patient à la production de ses documents. Cinq objectifs spécifiques en découlent : analyser les processus métier du centre ; formaliser les besoins fonctionnels et non fonctionnels ; concevoir l’architecture selon 2TUP couplé à UML ; implémenter le système sur ses trois canaux de diffusion ; garantir la sécurité et la traçabilité des données de santé.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Notre objectif général est de concevoir et de réaliser ce système, pour tout le parcours de soin, de l’accueil du patient à la production de ses documents. Cinq objectifs spécifiques en découlent : analyser les processus métier du centre ; formaliser les besoins fonctionnels et non fonctionnels ; concevoir l’architecture selon 2TUP couplé à UML ; implémenter le système sur ses trois canaux de diffusion ; garantir la sécurité et la traçabilité des données de santé.</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retenu le Processus Unifié, dans sa déclinaison 2TUP, outillée par UML. Le volet métier s’appuie sur quatre entretiens semi-directifs. Nous les avons conduits ensemble à la SARIS, du 15 janvier au 14 avril 2026, pendant le stage effectué par Nzila Oscarvie Verdi. Ces entretiens ont recensé dix-huit besoins, couvrant trois métiers distincts : le soin, la logistique pharmaceutique et l’administration du personnel. Nous ne retenons que le parcours de soin, augmenté des fonctions transverses nécessaires à son exploitation. Nous avons organisé ce mémoire en deux parties.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retenu le Processus Unifié, dans sa déclinaison 2TUP, outillée par UML. Le volet métier s’appuie sur quatre entretiens semi-directifs, que nous avons conduits ensemble à la SARIS, du 15 janvier au 14 avril 2026, pendant le stage effectué par Nzila Oscarvie Verdi. Ils ont recensé dix-huit besoins, couvrant trois métiers distincts : le soin, la logistique pharmaceutique et l’administration du personnel. Nous ne retenons que le parcours de soin et les fonctions transverses nécessaires à son exploitation.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Partie I, « Cadre contextuel et domaine d’étude », comprend deux chapitres : la structure d’accueil, puis le domaine d’étude et le périmètre retenu. La Partie II, « Analyse, conception et réalisation selon 2TUP couplé à UML », en comprend cinq, organisés selon les deux branches du Y. La méthodologie ouvre la partie. La branche fonctionnelle la poursuit avec l’étude de l’existant et l’analyse des besoins. La branche technique établit ensuite l’architecture du système. Les deux branches convergent enfin dans la conception détaillée et l’implémentation.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mémoire compte deux parties. La Partie I, « Cadre contextuel et domaine d’étude », présente la structure d’accueil, puis le domaine d’étude et le périmètre retenu. La Partie II, « Analyse, conception et réalisation selon 2TUP couplé à UML », compte cinq chapitres organisés selon les deux branches du Y : la méthodologie, puis la branche fonctionnelle avec l’étude de l’existant et l’analyse des besoins, la branche technique avec l’architecture du système, et enfin leur convergence dans la conception détaillée et l’implémentation.</w:t>
      </w:r>
    </w:p>
    <w:p>
      <w:pPr>
        <w:pStyle w:val="Heading2"/>
        <w:spacing w:after="120" w:before="240"/>
      </w:pPr>
      <w:r>
        <w:rPr>
          <w:rFonts w:ascii="Times New Roman" w:cs="Times New Roman" w:eastAsia="Times New Roman" w:hAnsi="Times New Roman"/>
          <w:b/>
          <w:bCs/>
          <w:sz w:val="24"/>
          <w:szCs w:val="24"/>
        </w:rPr>
        <w:t xml:space="preserve">CHAPITRE 1 — PRÉSENTATION DE LA STRUCTURE D’ACCUEIL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Dans ce chapitre, nous présentons la structure qui accueille notre projet : le Service Médico-Social de SARIS-CONGO, et en son sein le Centre Médico-Sanitaire. Nous exposons sa place dans l’entreprise, ses missions, son organisation et son fonctionnement sur deux sites. Les faits présentés proviennent du recueil de l’existant et du rapport de stage effectué dans l’entreprise.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chapitre présente le Service Médico-Social de SARIS-CONGO et, en son sein, le Centre Médico-Sanitaire : sa place dans l’entreprise, ses missions, son organisation et son fonctionnement sur deux sites. Les faits présentés proviennent du recueil de l’existant et du rapport de stage.</w:t>
      </w:r>
    </w:p>
    <w:p>
      <w:pPr>
        <w:spacing w:after="120" w:line="300"/>
        <w:jc w:val="both"/>
      </w:pPr>
      <w:r>
        <w:rPr>
          <w:rFonts w:ascii="Times New Roman" w:cs="Times New Roman" w:eastAsia="Times New Roman" w:hAnsi="Times New Roman"/>
          <w:b/>
          <w:bCs/>
          <w:i/>
          <w:iCs/>
          <w:sz w:val="20"/>
          <w:szCs w:val="20"/>
        </w:rPr>
        <w:t xml:space="preserve">1.2 Le Service Médico-Social et ses missions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Service Médico-Social assure les soins de premier recours. Il les assure pour les travailleurs de l’entreprise, pour les personnes qui leur sont rattachées, et pour certaines catégories externes. Ce n’est pas une structure autonome. Il est rattaché à la Direction des Ressources Humaines, ce qui lui confère le statut d’un service interne d’entreprise, et non d’un établissement de santé indépendant.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Service Médico-Social assure les soins de premier recours des travailleurs de l’entreprise, des personnes qui leur sont rattachées et de certaines catégories externes. Rattaché à la Direction des Ressources Humaines, il est un service interne d’entreprise, et non un établissement de santé indépendant.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 rattachement à la direction des ressources humaines crée une situation qui mérite d’être relevée : l’employeur est aussi l’exploitant du centre de soins. Le recueil documente cependant une pratique cohérente avec cette préoccupation. Le service des ressources humaines reçoit les informations administratives — repos, accidents, évacuations — sans accès au dossier médical.</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rattachement fait de l’employeur l’exploitant du centre de soins. Le recueil documente une pratique qui en tient compte : le service des ressources humaines reçoit les informations administratives — repos, accidents, évacuations — sans accès au dossier médical.</w:t>
      </w:r>
    </w:p>
    <w:p>
      <w:pPr>
        <w:spacing w:after="120" w:line="300"/>
        <w:jc w:val="both"/>
      </w:pPr>
      <w:r>
        <w:rPr>
          <w:rFonts w:ascii="Times New Roman" w:cs="Times New Roman" w:eastAsia="Times New Roman" w:hAnsi="Times New Roman"/>
          <w:b/>
          <w:bCs/>
          <w:i/>
          <w:iCs/>
          <w:sz w:val="20"/>
          <w:szCs w:val="20"/>
        </w:rPr>
        <w:t xml:space="preserve">1.3 La population couverte par le centre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présence des riverains est un fait de mission notable. Le centre n’est pas un dispositif fermé réservé aux salariés : il soigne les habitants de son environnement. Cela le distingue d’un service de médecine du travail classique et justifie sa dénomination de centre médico-sanitaire. La prise en charge n’est pas uniforme pour autant. Le recueil énonce une règle nette : la prise en charge complète, médicaments et bons d’examens compris, est réservée exclusivement au personnel en contrat à durée indéterminée et à ses ayants droits directs.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présence des riverains est un fait notable : le centre n’est pas réservé aux salariés, il soigne aussi les habitants de son environnement. Cela le distingue d’un service de médecine du travail et justifie son nom de centre médico-sanitaire. La prise en charge n’est pas uniforme pour autant. Selon le recueil, la prise en charge complète, médicaments et bons d’examens compris, est réservée au personnel en contrat à durée indéterminée et à ses ayants droit directs.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Pour tous les autres statuts, les soins sont assurés puis refacturés à la société employeuse ou à l’assurance du patient. Personne n’est donc refusé aux soins : ce qui varie, c’est qui paie. Cette distinction constitue la règle métier centrale du système réalisé.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Pour les autres statuts, les soins sont assurés puis refacturés à la société employeuse ou à l’assurance du patient. Cette règle, centrale pour le système, est détaillée au § 2.5.</w:t>
      </w:r>
    </w:p>
    <w:p>
      <w:pPr>
        <w:spacing w:after="120" w:line="300"/>
        <w:jc w:val="both"/>
      </w:pPr>
      <w:r>
        <w:rPr>
          <w:rFonts w:ascii="Times New Roman" w:cs="Times New Roman" w:eastAsia="Times New Roman" w:hAnsi="Times New Roman"/>
          <w:b/>
          <w:bCs/>
          <w:i/>
          <w:iCs/>
          <w:sz w:val="20"/>
          <w:szCs w:val="20"/>
        </w:rPr>
        <w:t xml:space="preserve">1.4 Organisation structurelle du service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 point d’organisation mérite d’être relevé. Le Médecin Chef dirige le Service Médico-Social et gère directement le Centre Médico-Sanitaire, tout en assurant son activité clinique. Le recueil en identifie la conséquence : la surcharge administrative constitue son principal point de tension. C’est elle qui motive la délégation de tâches à des infirmiers formés, décrite au chapitre 2.</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Médecin Chef dirige le Service Médico-Social et gère directement le Centre Médico-Sanitaire, tout en assurant son activité clinique. Selon le recueil, cette surcharge administrative est son principal point de tension. C’est elle qui motive la délégation de tâches à des infirmiers formés, décrite au chapitre 2.</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centre est structuré en six pôles de compétences : la consultation et les soins, la radiologie, le laboratoire d’analyses médicales, la pharmacie, le Service de Maternité Infantile et la kinésithérapie. Seul le pôle consultation et soins, dans sa composante générale, entre dans le périmètre du projet. Ce cadrage est justifié au chapitre 2. Le centre opère enfin sur deux sites géographiquement distincts, Moutela et Nkayi. Le personnel médical n’est pas affecté à un site unique : il tourne entre les deux selon un planning de permutation défini à l’avance.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centre est structuré en six pôles de compétences : la consultation et les soins, la radiologie, le laboratoire d’analyses médicales, la pharmacie, le Service de Maternité Infantile et la kinésithérapie. Seul le pôle consultation et soins, dans sa composante générale, entre dans le périmètre du projet, pour les raisons données au chapitre 2. Le centre opère sur deux sites, Moutela et Nkayi. Le personnel médical n’est pas affecté à un site : il tourne entre les deux selon un planning de permutation défini à l’avance.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recueil en énonce la conséquence sans détour. Aucun système d’information centralisé n’existe entre les deux sites. Chacun fonctionne de façon autonome avec ses propres fichiers, et la consolidation est assurée manuellement par le Médecin Chef. Ce fait organisationnel est le fondement de tout le projet. Un personnel qui tourne entre deux sites sans système partagé, c’est un soignant qui perd, en changeant de site, l’accès à ce qu’il a lui-même constaté la semaine précédente.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Aucun système d’information ne relie les deux sites. Chacun fonctionne avec ses propres fichiers, et le Médecin Chef consolide les données à la main. Ce fait est le fondement de tout le projet : en changeant de site, un soignant perd l’accès à ce qu’il a lui-même constaté la semaine précédente.</w:t>
      </w:r>
    </w:p>
    <w:p>
      <w:pPr>
        <w:spacing w:after="120" w:line="300"/>
        <w:jc w:val="both"/>
      </w:pPr>
      <w:r>
        <w:rPr>
          <w:rFonts w:ascii="Times New Roman" w:cs="Times New Roman" w:eastAsia="Times New Roman" w:hAnsi="Times New Roman"/>
          <w:b/>
          <w:bCs/>
          <w:i/>
          <w:iCs/>
          <w:sz w:val="20"/>
          <w:szCs w:val="20"/>
        </w:rPr>
        <w:t xml:space="preserve">1.5 Des fonctions réelles aux usages du système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centre compte davantage de fonctions que le système ne reconnaît de rôles. Quatre d’entre elles y accèdent, réparties sur trois rôles techniques seulement : le médecin et le médecin chef disposent des mêmes droits, dont ils ne font pas le même usage. Les deux autres restent hors du système. Le tableau ci-dessous dit lesquelles, et pourquoi.</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centre compte davantage de fonctions que le système ne reconnaît de rôles. Quatre d’entre elles y accèdent, avec trois rôles techniques seulement : le médecin et le médecin chef ont les mêmes droits, mais n’en font pas le même usage. Les deux autres restent hors du système. Le tableau ci-dessous dit lesquelles, et pourquoi.</w:t>
      </w:r>
    </w:p>
    <w:p>
      <w:pPr>
        <w:spacing w:after="120" w:line="300"/>
        <w:jc w:val="both"/>
      </w:pPr>
      <w:r>
        <w:rPr>
          <w:rFonts w:ascii="Times New Roman" w:cs="Times New Roman" w:eastAsia="Times New Roman" w:hAnsi="Times New Roman"/>
          <w:b/>
          <w:bCs/>
          <w:i/>
          <w:iCs/>
          <w:sz w:val="20"/>
          <w:szCs w:val="20"/>
        </w:rPr>
        <w:t xml:space="preserve">1.6 Ressources et chiffres caractéristiques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recueil documente les ressources du centre. Le personnel médical comprend un Médecin Chef, au moins un autre médecin, et des infirmières, dont certaines formées à la délégation de prescription. Il tourne entre les deux sites. Chaque site dispose de sa pharmacienne, qui gère son stock et ses rapports. Un gestionnaire assure les ressources humaines et le service social. L’équipement couvre les six pôles, et l’approvisionnement pharmaceutique repose sur un fournisseur unique, à un rythme trimestriel.</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personnel médical comprend un Médecin Chef, au moins un autre médecin et des infirmières, dont certaines sont formées à la délégation de prescription ; il tourne entre les deux sites. Chaque site dispose de sa pharmacienne, qui gère son stock et ses rapports. Un gestionnaire assure les ressources humaines et le service social. L’équipement couvre les six pôles, et l’approvisionnement pharmaceutique repose sur un fournisseur unique, à un rythme trimestriel.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Au-delà de la mesure d’activité, le centre occupe une place particulière dans son environnement. Le rapport de stage apporte ici une précision qui compte. Dans un pays où l’accès aux soins reste un défi majeur, il constitue, pour de nombreuses familles d’agents, le principal point d’accès aux soins médicaux. Cela déplace l’enjeu du projet. Il ne s’agit pas d’optimiser un service de médecine du travail, mais d’outiller une structure qui constitue, pour une part de la population, le seul recours médical accessible.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rapport de stage apporte une précision qui compte. Dans un pays où l’accès aux soins reste un défi majeur, le centre est, pour de nombreuses familles d’agents, le principal point d’accès aux soins médicaux. L’enjeu du projet n’est donc pas d’optimiser un service de médecine du travail, mais d’outiller une structure qui est, pour une part de la population, le seul recours médical accessible.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ne disposons ni des effectifs chiffrés par fonction et par site, ni des volumes d’activité : nombre de consultations, répartition entre les sites, proportion de chaque statut. La raison est révélatrice : elle fait partie des problèmes que nous traitons, la production des statistiques étant entièrement manuelle. Le Médecin Chef établit ses rapports en agrégeant à la main les données des deux sites. Leur consolidation coûte donc trop cher pour être menée à la demande.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ne disposons ni des effectifs par fonction et par site, ni des volumes d’activité — nombre de consultations, répartition entre les sites, proportion de chaque statut (§ 4.1). La raison est elle-même un constat : le Médecin Chef produit les statistiques à la main, en agrégeant les données des deux sites, ce qui rend toute consolidation trop coûteuse pour être menée à la demande.</w:t>
      </w:r>
    </w:p>
    <w:p>
      <w:pPr>
        <w:spacing w:after="120" w:line="300"/>
        <w:jc w:val="both"/>
      </w:pPr>
      <w:r>
        <w:rPr>
          <w:rFonts w:ascii="Times New Roman" w:cs="Times New Roman" w:eastAsia="Times New Roman" w:hAnsi="Times New Roman"/>
          <w:b/>
          <w:bCs/>
          <w:i/>
          <w:iCs/>
          <w:sz w:val="20"/>
          <w:szCs w:val="20"/>
        </w:rPr>
        <w:t xml:space="preserve">Conclusion du chapitre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Service Médico-Social de SARIS-CONGO est un service interne, rattaché à la Direction des Ressources Humaines et dirigé par le Médecin Chef. Il réunit la Section des Affaires Sociales et le Centre Médico-Sanitaire. Ce dernier couvre six pôles de compétences et soigne neuf catégories de personnes, selon des règles de prise en charge différenciées, sur deux sites entre lesquels le personnel tourne sans aucun système d’information partagé.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Service Médico-Social de SARIS-CONGO est un service interne, rattaché à la Direction des Ressources Humaines et dirigé par le Médecin Chef. Il réunit la Section des Affaires Sociales et le Centre Médico-Sanitaire. Ce dernier couvre six pôles de compétences et soigne neuf catégories de personnes, selon des règles de prise en charge différenciées, sur deux sites entre lesquels le personnel tourne sans système d’information partagé.</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Ces trois caractéristiques déterminent les besoins du centre et le périmètre que nous avons retenu. Le chapitre suivant précise le domaine d’étude et ce que le système doit prendre en charge.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Ces caractéristiques déterminent les besoins du centre et le périmètre retenu, que précise le chapitre suivant.</w:t>
      </w:r>
    </w:p>
    <w:p>
      <w:pPr>
        <w:pStyle w:val="Heading2"/>
        <w:spacing w:after="120" w:before="240"/>
      </w:pPr>
      <w:r>
        <w:rPr>
          <w:rFonts w:ascii="Times New Roman" w:cs="Times New Roman" w:eastAsia="Times New Roman" w:hAnsi="Times New Roman"/>
          <w:b/>
          <w:bCs/>
          <w:sz w:val="24"/>
          <w:szCs w:val="24"/>
        </w:rPr>
        <w:t xml:space="preserve">CHAPITRE 2 — DOMAINE D’ÉTUDE : LE SYSTÈME D’INFORMATION MÉDICAL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 système d’information médical n’est pas un logiciel de gestion auquel on aurait ajouté des champs cliniques. Trois traits le distinguent. La donnée y est sensible par nature : sa divulgation cause un préjudice direct à une personne. La continuité y prime sur la disponibilité. Un système de soin indisponible fait perdre l’historique d’un patient au moment précis où l’on en a besoin. La traçabilité y est enfin une obligation, non un confort. Qui a prescrit, qui a délivré, qui a consulté : ces questions doivent trouver réponse après coup.</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 système d’information médical n’est pas un logiciel de gestion auquel on aurait ajouté des champs cliniques. Trois traits le distinguent. La donnée y est sensible : sa divulgation cause un préjudice direct à une personne. La continuité y prime : un système indisponible fait perdre l’historique d’un patient au moment précis où l’on en a besoin. La traçabilité y est une obligation : qui a prescrit, qui a délivré, qui a consulté, ces questions doivent trouver réponse après coup.</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Dans ce chapitre, nous posons d’abord le contexte et la problématique. Nous décrivons ensuite le domaine sous trois aspects : les acteurs du suivi médical et leurs responsabilités, ce qu’impose le fonctionnement sur deux sites, et la règle de prise en charge qui distingue les catégories de patients. Nous énonçons enfin le périmètre retenu et les concepts mobilisés.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chapitre pose le contexte et la problématique, puis décrit les acteurs du suivi médical, le fonctionnement sur deux sites et la règle de prise en charge. Il énonce enfin le périmètre retenu et les concepts mobilisés.</w:t>
      </w:r>
    </w:p>
    <w:p>
      <w:pPr>
        <w:spacing w:after="120" w:line="300"/>
        <w:jc w:val="both"/>
      </w:pPr>
      <w:r>
        <w:rPr>
          <w:rFonts w:ascii="Times New Roman" w:cs="Times New Roman" w:eastAsia="Times New Roman" w:hAnsi="Times New Roman"/>
          <w:b/>
          <w:bCs/>
          <w:i/>
          <w:iCs/>
          <w:sz w:val="20"/>
          <w:szCs w:val="20"/>
        </w:rPr>
        <w:t xml:space="preserve">2.1 Contexte du projet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Centre Médico-Sanitaire de SARIS-CONGO assure les soins de premier recours sur deux sites distants, Moutela et Nkayi. Il prend en charge neuf catégories de personnes, du travailleur permanent au riverain, selon des règles de prise en charge différentes. Le personnel médical n’est affecté à aucun site en propre : il tourne entre les deux selon un planning de permutation.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Centre Médico-Sanitaire soigne neuf catégories de personnes, du travailleur permanent au riverain, sur deux sites, Moutela et Nkayi, entre lesquels le personnel tourne selon un planning de permutation.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L’étude de l’existant, au chapitre 4, établira l’état de cette organisation avant le projet : aucun système d’information médical, un carnet de santé papier pour seul vecteur entre les étapes du soin, et deux sites sans lien informatique. Ce chapitre ne revient pas sur ce constat ; il décrit ce que le domaine exige d’un système qui viendrait le prendre en charge. C’est dans ce contexte que nous avons conçu le système décrit par ce mémoire.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L’étude de l’existant, au chapitre 4, établira l’état de cette organisation avant le projet : aucun système d’information médical, un carnet de santé papier pour seul lien entre les étapes du soin, et deux sites sans lien informatique. Ce chapitre décrit ce que le domaine exige d’un système qui viendrait la prendre en charge.</w:t>
      </w:r>
    </w:p>
    <w:p>
      <w:pPr>
        <w:spacing w:after="120" w:line="300"/>
        <w:jc w:val="both"/>
      </w:pPr>
      <w:r>
        <w:rPr>
          <w:rFonts w:ascii="Times New Roman" w:cs="Times New Roman" w:eastAsia="Times New Roman" w:hAnsi="Times New Roman"/>
          <w:b/>
          <w:bCs/>
          <w:i/>
          <w:iCs/>
          <w:sz w:val="20"/>
          <w:szCs w:val="20"/>
        </w:rPr>
        <w:t xml:space="preserve">2.2 Problématique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question contient une contradiction, et c’est elle qui fait la difficulté du travail. Relier deux sites suppose que l’information circule. Fonctionner sans réseau suppose qu’elle puisse ne pas circuler. Un système qui privilégie la première exigence s’arrête dès que la connexion tombe. Un système qui privilégie la seconde laisse les deux sites diverger. Tout ce mémoire est la réponse à cette tension.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question contient une contradiction, qui fait la difficulté du travail. Relier deux sites suppose que l’information circule. Fonctionner sans réseau suppose qu’elle puisse ne pas circuler. Un système qui privilégie la première exigence s’arrête dès que la connexion tombe ; un système qui privilégie la seconde laisse les deux sites diverger. Tout ce mémoire répond à cette tension.</w:t>
      </w:r>
    </w:p>
    <w:p>
      <w:pPr>
        <w:spacing w:after="120" w:line="300"/>
        <w:jc w:val="both"/>
      </w:pPr>
      <w:r>
        <w:rPr>
          <w:rFonts w:ascii="Times New Roman" w:cs="Times New Roman" w:eastAsia="Times New Roman" w:hAnsi="Times New Roman"/>
          <w:b/>
          <w:bCs/>
          <w:i/>
          <w:iCs/>
          <w:sz w:val="20"/>
          <w:szCs w:val="20"/>
        </w:rPr>
        <w:t xml:space="preserve">2.3 Les acteurs du suivi médical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principes d’organisation se lisent dans cette structure. Le premier est le cloisonnement par initiateur. Un infirmier ne voit que l’activité qu’il a lui-même conduite. En consultant l’historique d’un patient, il n’accède qu’à la visite en cours. Seul le groupe de supervision dispose d’une vue complète.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Deux principes d’organisation se lisent dans ce tableau. Le premier est le cloisonnement par initiateur : un infirmier ne voit que l’activité qu’il a lui-même conduite et, dans l’historique d’un patient, n’accède qu’à la visite en cours. Seul le groupe de supervision dispose d’une vue complète.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second est la délégation de prescription. L’infirmier possède les droits techniques de prescrire, mais l’acte n’est autorisé que si une délégation active existe, accordée par le médecin chef et couvrant la date du jour. La délégation utilisée est enregistrée sur l’ordonnance : la responsabilité reste donc imputable après coup.</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second est la délégation de prescription. L’infirmier possède les droits techniques de prescrire, mais l’acte n’est autorisé que si une délégation active, accordée par le médecin chef, couvre la date du jour. La délégation utilisée est enregistrée sur l’ordonnance : la responsabilité reste imputable après coup.</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organisation traduit une hiérarchie médicale réelle : l’infirmier traite des cas simples sous la responsabilité du médecin, sans que cette responsabilité se dilue. Un autre fait éclaire toute notre conception. Comme le personnel tourne entre les deux sites, un même soignant peut recevoir à Nkayi un patient examiné la semaine précédente à Moutela, sans disposer du dossier. Le déficit d’information ne pénalisait pas seulement le patient : il pénalisait le soignant, privé de ce qu’il avait lui-même constaté.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organisation traduit une hiérarchie médicale réelle : l’infirmier traite les cas simples sous la responsabilité du médecin, sans que cette responsabilité se dilue. Un autre fait éclaire notre conception : comme le personnel tourne entre les sites, un soignant peut recevoir à Nkayi un patient examiné la semaine précédente à Moutela, sans disposer du dossier. Le manque d’information pénalisait donc le patient, mais aussi le soignant, privé de ce qu’il avait lui-même constaté.</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caractéristiques des utilisateurs comptent enfin pour la conception. Le poste d’accueil est celui qui subit le plus de coupures, et c’est aussi celui que tient l’agent dont l’aisance avec l’informatique est la plus variable. Le fonctionnement hors connexion doit donc garantir en priorité l’enregistrement des arrivées. Et l’interface doit parler le langage du métier plutôt que celui du système.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Deux caractéristiques des utilisateurs comptent enfin. Le poste d’accueil subit le plus de coupures, et l’agent qui le tient a une aisance très variable avec l’informatique. Le fonctionnement hors connexion doit donc garantir d’abord l’enregistrement des arrivées, et l’interface doit parler le langage du métier plutôt que celui du système.</w:t>
      </w:r>
    </w:p>
    <w:p>
      <w:pPr>
        <w:spacing w:after="120" w:line="300"/>
        <w:jc w:val="both"/>
      </w:pPr>
      <w:r>
        <w:rPr>
          <w:rFonts w:ascii="Times New Roman" w:cs="Times New Roman" w:eastAsia="Times New Roman" w:hAnsi="Times New Roman"/>
          <w:b/>
          <w:bCs/>
          <w:i/>
          <w:iCs/>
          <w:sz w:val="20"/>
          <w:szCs w:val="20"/>
        </w:rPr>
        <w:t xml:space="preserve">2.4 Le fonctionnement sur deux sites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centre fonctionne sur deux sites distants d’une quinzaine de kilomètres, entre lesquels le personnel tourne sans affectation fixe. Cette configuration pose trois problèmes. Le problème de l’identité d’abord. Un même travailleur peut être vu sur les deux sites. Sans dossier unique, il existe deux fois, avec deux historiques partiels. Le problème de la synchronisation ensuite. Toute donnée saisie sur un site doit devenir visible sur l’autre, sans ressaisie et sans divergence. Le problème de la connectivité enfin. Faute de liaison fiable et permanente entre les sites, un système exigeant une connexion continue serait inutilisable.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centre fonctionne sur deux sites distants d’une quinzaine de kilomètres, entre lesquels le personnel tourne sans affectation fixe. Cette configuration pose trois problèmes. L’identité : un même travailleur peut être vu sur les deux sites ; sans dossier unique, il existe deux fois, avec deux historiques partiels. La synchronisation : toute donnée saisie sur un site doit devenir visible sur l’autre, sans ressaisie ni divergence. La connectivité : faute de liaison fiable et permanente entre les sites, un système exigeant une connexion continue serait inutilisable.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réponse que nous avons retenue constitue une décision d’architecture forte. Le dossier patient et l’ensemble du parcours de soin sont en portée globale : chaque poste détient la totalité des dossiers des deux sites.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Notre réponse est une décision d’architecture forte : le dossier patient et tout le parcours de soin sont en portée globale, et chaque poste détient la totalité des dossiers des deux sites.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généralisation soulève une objection. Si chaque poste détient tous les dossiers, la confidentialité n’est-elle pas compromise ? La réponse tient en deux mécanismes. Le verrou de dossier permet au médecin chef de restreindre l’accès à un dossier sensible. Ce verrou est appliqué par l’interface de programmation applicative (API), y compris par le serveur embarqué du poste autonome. Le cloisonnement par initiateur établit ensuite que détenir la donnée n’est pas y avoir accès : les droits s’appliquent à la lecture.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généralisation soulève une objection : si chaque poste détient tous les dossiers, la confidentialité n’est-elle pas compromise ? Deux mécanismes y répondent. Le verrou de dossier permet au médecin chef de restreindre l’accès à un dossier sensible ; il est appliqué par l’interface de programmation applicative (API), y compris par le serveur embarqué du poste autonome. Le cloisonnement par initiateur établit ensuite que détenir la donnée n’est pas y avoir accès : les droits s’appliquent à la lecture.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tranché en faveur de la disponibilité de l’information de soin, contre la restriction de sa diffusion, avec des garde-fous applicatifs. Dans un contexte où l’indisponibilité d’un antécédent peut avoir des conséquences cliniques, cet arbitrage se défend — à condition d’être énoncé.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donc tranché en faveur de la disponibilité de l’information de soin, avec des garde-fous applicatifs. Quand l’absence d’un antécédent peut avoir des conséquences cliniques, cet arbitrage se défend, à condition d’être énoncé.</w:t>
      </w:r>
    </w:p>
    <w:p>
      <w:pPr>
        <w:spacing w:after="120" w:line="300"/>
        <w:jc w:val="both"/>
      </w:pPr>
      <w:r>
        <w:rPr>
          <w:rFonts w:ascii="Times New Roman" w:cs="Times New Roman" w:eastAsia="Times New Roman" w:hAnsi="Times New Roman"/>
          <w:b/>
          <w:bCs/>
          <w:i/>
          <w:iCs/>
          <w:sz w:val="20"/>
          <w:szCs w:val="20"/>
        </w:rPr>
        <w:t xml:space="preserve">2.5 Catégories de patients et règles de prise en charge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C’est la règle métier centrale du système. Elle explique la majorité des contrôles, conditionne plusieurs cas d’utilisation, et constitue la principale différence entre ce système et un dossier médical générique. Le système distingue cinq catégories de personnes, dont les droits diffèrent.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C’est la règle métier centrale du système : elle explique la majorité des contrôles, conditionne plusieurs cas d’utilisation et distingue ce système d’un dossier médical générique. Le système reconnaît cinq catégories de personnes, dont les droits diffèrent.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chapitre 1 recensait neuf statuts administratifs. Le système n’en retient que cinq, et cette réduction est volontaire. Une catégorie du système n’est pas un statut : c’est un mode d’identification du patient associé à un régime de prise en charge. Les quatre statuts absents — expatriés, agents de la distillerie, visiteurs et missionnaires, stagiaires — n’introduisent ni l’un ni l’autre. Ils se rattachent aux catégories déjà présentes, selon qu’ils portent un matricule SARIS, un rattachement à une société, ou aucun des deux. Les retenir séparément aurait multiplié les catégories sans changer une seule règle.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chapitre 1 recensait neuf statuts administratifs ; le système n’en retient que cinq, volontairement. Une catégorie n’est pas un statut : c’est un mode d’identification du patient associé à un régime de prise en charge. Les quatre statuts absents — expatriés, agents de la distillerie, visiteurs et missionnaires, stagiaires — n’en introduisent aucun nouveau. Ils se rattachent aux catégories existantes selon qu’ils portent un matricule SARIS, un rattachement à une société, ou aucun des deux. Les distinguer aurait multiplié les catégories sans changer une seule règle.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 tableau se lit avec précision, car un contresens est facile. Personne n’est refusé aux soins : toute personne qui se présente est reçue, examinée et soignée. Ce qui varie, c’est la prise en charge financière des médicaments et des examens. Elle est réservée au personnel en contrat à durée indéterminée et à ses ayants droit. Pour les autres statuts, les soins sont assurés puis refacturés à la société employeuse ou à l’assurance.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tableau se prête à un contresens. Personne n’est refusé aux soins : toute personne qui se présente est reçue, examinée et soignée. Ce qui varie, c’est la prise en charge financière des médicaments et des examens, réservée au personnel en contrat à durée indéterminée et à ses ayants droit. Pour les autres statuts, les soins sont assurés puis refacturés à la société employeuse ou à l’assurance.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distinction s’impose alors entre deux documents que l’on confond aisément. L’ordonnance n’est restreinte par aucune catégorie. C’est un acte médical : le soignant prescrit ce que l’état du patient exige. Le bon de pharmacie l’est. C’est un acte administratif, par lequel l’employeur prend en charge, ou non.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Il faut donc distinguer deux documents que l’on confond aisément. L’ordonnance est un acte médical : le soignant prescrit ce que l’état du patient exige, et aucune catégorie ne la restreint. Le bon de pharmacie est un acte administratif, par lequel l’employeur prend en charge, ou non : lui seul est restreint.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Autrement dit, un riverain reçoit une ordonnance s’il en a besoin, mais il l’honorera à ses frais, faute de bon. Cette règle n’est pas écrite en dur dans le code : une table de la base croise les catégories et les prestations. Elle reste donc modifiable sans redéploiement, ce qui correspond à sa nature de politique d’entreprise. En cas de refus, le message nomme la catégorie et rappelle la règle appliquée.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 riverain reçoit donc une ordonnance s’il en a besoin, mais l’honore à ses frais, faute de bon. La règle n’est pas écrite en dur dans le code : une table de la base croise les catégories et les prestations. Elle reste ainsi modifiable sans redéploiement, conformément à sa nature de politique d’entreprise. En cas de refus, le message nomme la catégorie et rappelle la règle appliquée.</w:t>
      </w:r>
    </w:p>
    <w:p>
      <w:pPr>
        <w:spacing w:after="120" w:line="300"/>
        <w:jc w:val="both"/>
      </w:pPr>
      <w:r>
        <w:rPr>
          <w:rFonts w:ascii="Times New Roman" w:cs="Times New Roman" w:eastAsia="Times New Roman" w:hAnsi="Times New Roman"/>
          <w:b/>
          <w:bCs/>
          <w:i/>
          <w:iCs/>
          <w:sz w:val="20"/>
          <w:szCs w:val="20"/>
        </w:rPr>
        <w:t xml:space="preserve">2.6 Intérêts du sujet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sujet présente un intérêt pratique pour le Centre Médico-Sanitaire. Notre système répond à quatre besoins précis : disposer d’un dossier patient unique et consolidé entre les deux sites, supprimer les ressaisies, automatiser une règle d’éligibilité qui reposait sur la mémoire des agents, et continuer de fonctionner lorsque le réseau tombe. Ce dernier point n’est pas un raffinement technique, c’est une condition d’usage.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sujet présente d’abord un intérêt pratique pour le Centre Médico-Sanitaire. Le système répond à quatre besoins précis : un dossier patient unique et consolidé entre les deux sites, la fin des ressaisies, une règle d’éligibilité automatisée qui reposait sur la mémoire des agents, et un fonctionnement maintenu quand le réseau tombe. Ce dernier point n’est pas un raffinement technique, mais une condition d’usage.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Il présente ensuite un intérêt académique pour nous. Le projet a exigé une démarche d’ingénierie complète : modélisation objet, architecture en couches, sécurité applicative, persistance sur deux moteurs de base de données, synchronisation distribuée avec résolution de conflit, empaquetage et distribution d’un logiciel de bureau. La difficulté principale n’a pas été algorithmique mais architecturale : faire coexister deux modes d’exécution du même code.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Il présente ensuite un intérêt académique : le projet a exigé une démarche d’ingénierie complète — modélisation objet, architecture en couches, sécurité applicative, persistance sur deux moteurs de base de données, synchronisation distribuée avec résolution de conflit, empaquetage et distribution d’un logiciel de bureau. La difficulté principale n’a pas été algorithmique mais architecturale : faire coexister deux modes d’exécution du même code.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Il présente enfin un intérêt méthodologique, plus modeste. Le travail documente une réponse concrète à un problème récurrent dans la sous-région : concevoir un système de santé pour un environnement où la connectivité n’est pas acquise. Trois de nos choix sont transposables : la réplication complète plutôt que partielle, la résolution par dernière écriture avec journalisation plutôt que le verrouillage, et le rejeu de requêtes plutôt que la duplication du moteur de règles. C’est leur argumentation qui constitue l’apport, plus que le code.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Il présente enfin un intérêt méthodologique, plus modeste : il documente une réponse à un problème récurrent dans la sous-région, concevoir un système de santé là où la connectivité n’est pas acquise. Trois de nos choix sont transposables : la réplication complète plutôt que partielle, la résolution par dernière écriture avec journalisation plutôt que le verrouillage, et le rejeu de requêtes plutôt que la duplication du moteur de règles. L’apport tient à leur argumentation plus qu’au code.</w:t>
      </w:r>
    </w:p>
    <w:p>
      <w:pPr>
        <w:spacing w:after="120" w:line="300"/>
        <w:jc w:val="both"/>
      </w:pPr>
      <w:r>
        <w:rPr>
          <w:rFonts w:ascii="Times New Roman" w:cs="Times New Roman" w:eastAsia="Times New Roman" w:hAnsi="Times New Roman"/>
          <w:b/>
          <w:bCs/>
          <w:i/>
          <w:iCs/>
          <w:sz w:val="20"/>
          <w:szCs w:val="20"/>
        </w:rPr>
        <w:t xml:space="preserve">2.7 Situation du travail dans la littérature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Quatre références encadrent ce travail. L’Organisation mondiale de la santé a publié en 2025 une stratégie d’optimisation des systèmes d’information sanitaire de routine, destinée à renforcer ces systèmes pour soutenir les soins de santé primaires. Cette référence situe le travail dans un cadre reconnu. Un centre médico-sanitaire d’entreprise produit précisément des données de routine — consultations, pathologies, prescriptions — dont l’agrégation alimente les décisions de santé.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Cinq références encadrent ce travail. En 2025, l’Organisation mondiale de la santé a publié une stratégie d’optimisation des systèmes d’information sanitaire de routine, destinée à renforcer ces systèmes au service des soins de santé primaires. Elle situe notre travail dans un cadre reconnu : un centre médico-sanitaire d’entreprise produit précisément des données de routine — consultations, pathologies, prescriptions — dont l’agrégation alimente les décisions de santé. La même organisation publie la onzième révision de la classification internationale des maladies, en vigueur depuis le 1er janvier 2022 : c’est vers elle que devrait converger tout référentiel de pathologies, pour que les statistiques produites restent comparables d’un système de santé à l’autre.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Traore et alii ont publié en 2024, dans le Pan African Medical Journal, une analyse de la gestion des données du système d’information sanitaire de routine dans le district sanitaire de Tombouctou, au Mali, en contexte de ressources contraintes. C’est la référence la plus proche de ce sujet : francophone, à comité de lecture, et portant sur un environnement comparable à celui du Centre Médico-Sanitaire de SARIS-CONGO.</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En 2024, Traore et alii ont analysé, dans le Pan African Medical Journal, la gestion des données du système d’information sanitaire de routine dans le district sanitaire de Tombouctou, au Mali, en contexte de ressources contraintes. C’est la référence la plus proche de notre sujet : francophone, à comité de lecture, et portant sur un environnement comparable à celui du Centre Médico-Sanitaire de SARIS-CONGO.</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Sur le plan technique, deux références comptent. Les travaux de Shapiro, Preguiça, Baquero et Zawirski sur les types de données répliqués sans conflit, publiés en 2011, constituent la référence fondatrice de la cohérence entre répliques qui ne peuvent pas se coordonner en permanence. Ils éclairent le choix de résolution par dernière écriture exposé au chapitre 6. La thèse de Roy Thomas Fielding, soutenue en 2000, introduit REST, le style architectural sur lequel repose l’API du système et ses 273 points d’accès.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Sur le plan technique, les travaux de Shapiro, Preguiça, Baquero et Zawirski (2011) sur les types de données répliqués sans conflit sont la référence fondatrice de la cohérence entre répliques qui ne peuvent pas se coordonner en permanence ; ils éclairent le choix de résolution par dernière écriture exposé au chapitre 6. La thèse de Roy Thomas Fielding, soutenue en 2000, introduit REST, le style architectural sur lequel reposent l’API du système et ses 273 points d’accès.</w:t>
      </w:r>
    </w:p>
    <w:p>
      <w:pPr>
        <w:spacing w:after="120" w:line="300"/>
        <w:jc w:val="both"/>
      </w:pPr>
      <w:r>
        <w:rPr>
          <w:rFonts w:ascii="Times New Roman" w:cs="Times New Roman" w:eastAsia="Times New Roman" w:hAnsi="Times New Roman"/>
          <w:b/>
          <w:bCs/>
          <w:i/>
          <w:iCs/>
          <w:sz w:val="20"/>
          <w:szCs w:val="20"/>
        </w:rPr>
        <w:t xml:space="preserve">2.8 Périmètre retenu et solution proposée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recueil de l’existant a produit dix-huit besoins, répartis sur trois métiers : le soin, l’administration du personnel et la logistique pharmaceutique. Ces domaines n’ont en commun ni les règles, ni les objets, ni les acteurs. Le premier manipule des actes de soin, le deuxième des dossiers administratifs et des montants, le troisième des références de produits et des mouvements de stock. Les traiter ensemble aurait produit un système partout superficiel.</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recueil de l’existant a produit dix-huit besoins, répartis sur trois métiers : le soin, l’administration du personnel et la logistique pharmaceutique. Ces domaines n’ont en commun ni les règles, ni les objets, ni les acteurs : le premier manipule des actes de soin, le deuxième des dossiers administratifs et des montants, le troisième des références de produits et des mouvements de stock. Les traiter ensemble aurait produit un système partout superficiel.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Notre choix n’est pas arbitraire. Il correspond exactement au processus formalisé par le Médecin Chef, décrit au chapitre 4. C’est le processus central du centre, celui que tous les autres alimentent ou prolongent : la pharmacie exécute une ordonnance, le laboratoire exécute un bon d’examen, le service administratif traite un certificat de repos.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choix correspond exactement au processus formalisé par le Médecin Chef, décrit au chapitre 4. C’est le processus central du centre, que tous les autres alimentent ou prolongent : la pharmacie exécute une ordonnance, le laboratoire un bon d’examen, le service administratif un certificat de repos.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S’y ajoutent dix fonctions transverses : le dossier patient centralisé, les référentiels, la gestion du personnel et des délégations, la sécurité et les habilitations, le journal d’audit, la synchronisation hors connexion, la messagerie interne chiffrée, les notifications, les tableaux de bord et rapports, et les paramètres système. Ces fonctions ne sont pas des ajouts d’agrément. Le dossier centralisé et la synchronisation répondent aux deux besoins prioritaires du Médecin Chef. Les habilitations traduisent la règle de confidentialité du centre. Et la messagerie répond au constat que l’information circule verbalement, sans trace.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S’y ajoutent dix fonctions transverses : le dossier patient centralisé, les référentiels, la gestion du personnel et des délégations, la sécurité et les habilitations, le journal d’audit, la synchronisation hors connexion, la messagerie interne chiffrée, les notifications, les tableaux de bord et rapports, et les paramètres système. Aucune n’est un ajout d’agrément : le dossier centralisé et la synchronisation répondent aux deux besoins prioritaires du Médecin Chef, les habilitations traduisent la règle de confidentialité du centre, et la messagerie répond au constat que l’information circule oralement, sans trace.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Trois besoins de priorité haute restent donc sans réponse : le suivi des coûts d’évacuation, le tableau de bord de l’absentéisme et le logiciel de gestion pharmaceutique. Ils appartiennent tous à des domaines écartés. Nous l’énonçons franchement, car cela se défend : un besoin hors périmètre relève d’une décision de cadrage argumentée, alors qu’un besoin non réalisé à l’intérieur du périmètre serait un échec. Ces trois besoins figurent en perspectives de la conclusion.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Trois besoins de priorité haute restent donc sans réponse : le suivi des coûts d’évacuation, le tableau de bord de l’absentéisme et le logiciel de gestion pharmaceutique. Tous relèvent de domaines écartés. Un besoin hors périmètre relève d’une décision de cadrage argumentée ; seul un besoin non réalisé à l’intérieur du périmètre serait un échec. Ces trois besoins figurent dans les perspectives de la conclusion.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Notre solution est donc une plateforme interne de gestion médico-sanitaire couvrant ce périmètre. Elle est accessible depuis les deux sites, en connexion comme hors connexion, et se décline en trois canaux appuyés sur un socle de code commun : une application web pour les postes connectés, tablettes et téléphones ; un client de bureau connecté pour les postes fixes ; et un client de bureau autonome, avec base locale et resynchronisation.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Notre solution est donc une plateforme interne de gestion médico-sanitaire couvrant ce périmètre, accessible depuis les deux sites, en connexion comme hors connexion. Elle se décline en trois canaux appuyés sur un socle de code commun : une application web pour les postes connectés, tablettes et téléphones ; un client de bureau connecté pour les postes fixes ; un client de bureau autonome, avec base locale et resynchronisation.</w:t>
      </w:r>
    </w:p>
    <w:p>
      <w:pPr>
        <w:spacing w:after="120" w:line="300"/>
        <w:jc w:val="both"/>
      </w:pPr>
      <w:r>
        <w:rPr>
          <w:rFonts w:ascii="Times New Roman" w:cs="Times New Roman" w:eastAsia="Times New Roman" w:hAnsi="Times New Roman"/>
          <w:b/>
          <w:bCs/>
          <w:i/>
          <w:iCs/>
          <w:sz w:val="20"/>
          <w:szCs w:val="20"/>
        </w:rPr>
        <w:t xml:space="preserve">Conclusion du chapitre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Dans ce chapitre, nous avons établi les caractéristiques du domaine. Le suivi médical repose sur une hiérarchie où l’infirmier agit sous délégation du médecin chef, avec une visibilité cloisonnée. Cette organisation existait déjà, informelle et non tracée : notre système l’encadre. Le fonctionnement sur deux sites impose une réplication complète des dossiers, et nous avons arbitré en faveur de la disponibilité de l’information de soin, avec un verrou applicatif pour garde-fou.</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suivi médical repose sur une hiérarchie où l’infirmier agit sous délégation du médecin chef, avec une visibilité cloisonnée. Cette organisation existait, informelle et non tracée : le système l’encadre. Le fonctionnement sur deux sites impose une réplication complète des dossiers ; nous avons arbitré en faveur de la disponibilité de l’information de soin, avec un verrou applicatif pour garde-fou.</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règle d’éligibilité distingue enfin le soin, ouvert à tous, de la prise en charge financière, réservée à certains. Nous avons énoncé et justifié notre périmètre — le parcours de soin et ses fonctions transverses — ainsi que ce qui en a été écarté. La Partie II développe la démarche technique.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Une règle d’éligibilité distingue enfin le soin, ouvert à tous, de la prise en charge financière, réservée à certains. Le périmètre retenu — le parcours de soin et ses fonctions transverses — est justifié, tout comme ce qui en a été écarté. La Partie II développe la démarche technique.</w:t>
      </w:r>
    </w:p>
    <w:p>
      <w:pPr>
        <w:pStyle w:val="Heading2"/>
        <w:spacing w:after="120" w:before="240"/>
      </w:pPr>
      <w:r>
        <w:rPr>
          <w:rFonts w:ascii="Times New Roman" w:cs="Times New Roman" w:eastAsia="Times New Roman" w:hAnsi="Times New Roman"/>
          <w:b/>
          <w:bCs/>
          <w:sz w:val="24"/>
          <w:szCs w:val="24"/>
        </w:rPr>
        <w:t xml:space="preserve">CHAPITRE 3 — DÉMARCHE MÉTHODOLOGIQUE : 2TUP COUPLÉ À UML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Concevoir un système d’information médical ne se résume pas à écrire du code. Entre le besoin exprimé par une infirmière à l’accueil et la ligne qui enregistre une visite en base, il existe une distance. Seule une méthode rigoureuse permet de la franchir sans perte. Cette distance est d’autant plus grande ici que le projet devait satisfaire deux exigences de nature différente : traduire fidèlement des pratiques de terrain, et tenir des contraintes techniques sévères.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Concevoir un système d’information médical ne se résume pas à écrire du code. Entre le besoin exprimé par une infirmière à l’accueil et la ligne qui enregistre une visite en base, il existe une distance que seule une méthode rigoureuse permet de franchir sans perte. Elle est d’autant plus grande ici que le projet devait satisfaire deux exigences de nature différente : traduire fidèlement des pratiques de terrain, et tenir des contraintes techniques sévères.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Dans ce chapitre, nous présentons la démarche retenue — le Processus Unifié dans sa déclinaison 2TUP, outillée par le langage UML — puis nous la justifions.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chapitre présente la démarche retenue — le Processus Unifié dans sa déclinaison 2TUP, outillée par le langage UML — puis la justifie.</w:t>
      </w:r>
    </w:p>
    <w:p>
      <w:pPr>
        <w:spacing w:after="120" w:line="300"/>
        <w:jc w:val="both"/>
      </w:pPr>
      <w:r>
        <w:rPr>
          <w:rFonts w:ascii="Times New Roman" w:cs="Times New Roman" w:eastAsia="Times New Roman" w:hAnsi="Times New Roman"/>
          <w:b/>
          <w:bCs/>
          <w:i/>
          <w:iCs/>
          <w:sz w:val="20"/>
          <w:szCs w:val="20"/>
        </w:rPr>
        <w:t xml:space="preserve">3.1 Le Processus Unifié</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Processus Unifié est un cadre de développement logiciel. Il a été formalisé à la fin des années 1990 par Ivar Jacobson, Grady Booch et James Rumbaugh, les auteurs mêmes d’UML. Ce n’est pas une méthode figée, mais un canevas que chaque équipe adapte à son contexte. Sa définition tient en quatre caractéristiques.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Processus Unifié est un cadre de développement logiciel formalisé à la fin des années 1990 par Ivar Jacobson, Grady Booch et James Rumbaugh, les auteurs mêmes d’UML. Ce n’est pas une méthode figée, mais un canevas que chaque équipe adapte à son contexte. Il se définit par quatre caractéristiques.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Il est d’abord piloté par les cas d’utilisation. Le besoin n’est pas décrit comme une liste de fonctions, mais comme un ensemble d’interactions entre des acteurs et le système. Le développement reste ainsi tourné vers l’usage réel. Il est ensuite centré sur l’architecture. Celle-ci n’est pas une conséquence du développement mais son ossature : elle est définie tôt, et validée par des versions exécutables.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Il est piloté par les cas d’utilisation : le besoin est décrit comme un ensemble d’interactions entre des acteurs et le système, et non comme une liste de fonctions, ce qui garde le développement tourné vers l’usage réel. Il est centré sur l’architecture : celle-ci n’est pas une conséquence du développement mais son ossature, définie tôt et validée par des versions exécutables.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Il est itératif et incrémental. Il procède par cycles courts, qui traversent chacun toutes les activités plutôt que de les enchaîner une seule fois. Il est enfin conduit par les risques. Les points les plus incertains sont traités en premier, quand les mauvaises surprises coûtent encore peu.</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Il est itératif et incrémental : il procède par cycles courts, qui traversent chacun toutes les activités au lieu de les enchaîner une seule fois. Il est enfin conduit par les risques : les points les plus incertains sont traités en premier, quand les mauvaises surprises coûtent encore peu.</w:t>
      </w:r>
    </w:p>
    <w:p>
      <w:pPr>
        <w:spacing w:after="120" w:line="300"/>
        <w:jc w:val="both"/>
      </w:pPr>
      <w:r>
        <w:rPr>
          <w:rFonts w:ascii="Times New Roman" w:cs="Times New Roman" w:eastAsia="Times New Roman" w:hAnsi="Times New Roman"/>
          <w:b/>
          <w:bCs/>
          <w:i/>
          <w:iCs/>
          <w:sz w:val="20"/>
          <w:szCs w:val="20"/>
        </w:rPr>
        <w:t xml:space="preserve">3.2 2TUP, un processus en Y</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2TUP est une déclinaison pratique du Processus Unifié, popularisée en France par Pascal Roques et Franck Vallée. Son apport tient dans une observation simple : un système subit deux sortes de contraintes, qui n’évoluent pas au même rythme et ne se traitent pas de la même façon. D’un côté, les contraintes fonctionnelles : ce que les utilisateurs attendent, et les règles du métier. De l’autre, les contraintes techniques : les plateformes disponibles, les modes de déploiement et les impératifs de sécurité.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2TUP est une déclinaison pratique du Processus Unifié, popularisée en France par Pascal Roques et Franck Vallée. Son apport part d’une observation simple : un système subit deux sortes de contraintes, qui n’évoluent pas au même rythme et ne se traitent pas de la même façon. D’un côté, les contraintes fonctionnelles : ce que les utilisateurs attendent, et les règles du métier. De l’autre, les contraintes techniques : les plateformes disponibles, les modes de déploiement et les impératifs de sécurité.</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Mêler ces deux natures de contraintes dès le départ produit un défaut connu. La conception fonctionnelle se laisse contaminer par des considérations techniques, et les choix techniques se figent avant que le métier ait été compris. 2TUP les sépare donc en deux branches parallèles, qui ne se rejoignent qu’à la conception préliminaire. D’où sa représentation caractéristique en Y : deux branches montantes, un point de convergence, un tronc descendant. Le cycle compte huit étapes. La branche fonctionnelle enchaîne la capture des besoins fonctionnels puis l’analyse ; la branche technique, la capture des besoins techniques puis la conception générique. Le tronc va de la conception préliminaire à la recette, en passant par la conception détaillée puis le codage et les tests. La figure 3.1 en donne la représentation, adaptée de Roques et Vallée (2007).</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Mêler ces deux natures de contraintes dès le départ produit un défaut connu : la conception fonctionnelle se laisse contaminer par des considérations techniques, et les choix techniques se figent avant que le métier soit compris. 2TUP les sépare donc en deux branches parallèles, qui ne se rejoignent qu’à la conception préliminaire. D’où sa représentation en Y : deux branches montantes, un point de convergence, un tronc descendant. Le cycle compte huit étapes. La branche fonctionnelle enchaîne la capture des besoins fonctionnels puis l’analyse ; la branche technique, la capture des besoins techniques puis la conception générique. Le tronc va de la conception préliminaire à la recette, en passant par la conception détaillée, le codage et les tests. La figure 3.1 en donne la représentation, adaptée de Roques et Vallée (2007).</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Dans notre projet, elle nous a fait identifier trois acteurs, décrire le parcours de soin, et surtout formaliser la règle qui gouverne tout le système. Cette règle est la suivante : toutes les catégories de patients ont droit à la consultation et aux premiers soins, mais seuls les employés en contrat à durée indéterminée et leurs ayants droit ouvrent droit aux bons de pharmacie et d’examen.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Dans notre projet, elle a permis d’identifier trois acteurs, de décrire le parcours de soin et surtout de formaliser la règle qui gouverne tout le système : l’accès aux bons de pharmacie et d’examen selon la catégorie du patient (§ 2.5).</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règle est de nature purement métier. Aucune considération technique n’intervient dans sa formulation. La branche technique part au contraire des contraintes d’exploitation. Elle construit l’architecture qui les satisfait, indépendamment des fonctions à rendre. Dans notre projet, elle a dû répondre à des contraintes que le métier ne dictait pas : fonctionner sans connexion, partager les données entre deux sites sans double saisie, protéger des données de santé au repos comme en transit, s’installer sur des postes Windows sans droits d’administrateur, et rester maintenable par une équipe de deux personnes.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règle est purement métier : aucune considération technique n’intervient dans sa formulation. La branche technique part au contraire des contraintes d’exploitation, et construit l’architecture qui les satisfait, indépendamment des fonctions à rendre. Dans notre projet, ces contraintes ne venaient pas du métier : fonctionner sans connexion, partager les données entre deux sites, protéger des données de santé. Le § 6.1 les énumère.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branche technique contraint la branche fonctionnelle, mais tardivement et de façon maîtrisée. Le choix de la résolution par dernière écriture en donne un exemple direct. Deux agents modifiant simultanément le même dossier depuis deux postes hors ligne ne verront pas leurs modifications fusionnées : la plus récente l’emporte. Cette conséquence devait être connue et acceptée par le métier avant d’être figée.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branche technique contraint la branche fonctionnelle, mais tardivement et de façon maîtrisée. La résolution par dernière écriture en donne un exemple : deux agents modifiant le même dossier depuis deux postes hors ligne ne verront pas leurs modifications fusionnées, la plus récente l’emportant. Cette conséquence devait être connue et acceptée par le métier avant d’être figée.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deux branches se rejoignent à la conception préliminaire. Le modèle du métier est alors projeté sur l’architecture technique. Les entités du domaine deviennent des modèles de données. Les cas d’utilisation deviennent des routes et des écrans. Les règles métier deviennent des contrôles et des services. La construction réalise ensuite l’intégration par itérations. Dans notre projet, chaque itération a livré un module fonctionnel complet, de la base de données à l’écran, plutôt qu’une couche technique horizontale.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deux branches se rejoignent à la conception préliminaire, où le modèle du métier est projeté sur l’architecture technique : les entités du domaine deviennent des modèles de données, les cas d’utilisation des routes et des écrans, les règles métier des contrôles et des services. La construction réalise ensuite l’intégration par itérations. Dans notre projet, chaque itération a livré un module fonctionnel complet, de la base de données à l’écran, plutôt qu’une couche technique horizontale.</w:t>
      </w:r>
    </w:p>
    <w:p>
      <w:pPr>
        <w:spacing w:after="120" w:line="300"/>
        <w:jc w:val="both"/>
      </w:pPr>
      <w:r>
        <w:rPr>
          <w:rFonts w:ascii="Times New Roman" w:cs="Times New Roman" w:eastAsia="Times New Roman" w:hAnsi="Times New Roman"/>
          <w:b/>
          <w:bCs/>
          <w:i/>
          <w:iCs/>
          <w:sz w:val="20"/>
          <w:szCs w:val="20"/>
        </w:rPr>
        <w:t xml:space="preserve">3.3 UML, le langage de modélisation retenu</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 langage de modélisation est une notation qui décrit un système selon des règles fixées, pour que tous ses lecteurs y comprennent la même chose. UML est le plus répandu d’entre eux. C’est un langage graphique, normalisé par l’Object Management Group, né de la fusion de trois notations objet concurrentes : celles de Booch, d’OMT et d’OOSE. Ce n’est ni une méthode ni un processus, mais un vocabulaire visuel. Il permet de décrire un système sous plusieurs angles, avec une sémantique partagée. Sa valeur tient à trois propriétés. Il est normalisé, donc lisible par tout informaticien formé. Il est multi-vues : aucun diagramme ne prétend décrire le système entier. Et il est indépendant du langage de programmation, ce qui permet de raisonner sur la structure avant de raisonner sur le code.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 langage de modélisation est une notation qui décrit un système selon des règles fixées, pour que tous ses lecteurs y comprennent la même chose. UML est le plus répandu. C’est un langage graphique, normalisé par l’Object Management Group, né de la fusion de trois notations objet concurrentes : celles de Booch, d’OMT et d’OOSE. Ce n’est ni une méthode ni un processus, mais un vocabulaire visuel. Sa valeur tient à trois propriétés : il est normalisé, donc lisible par tout informaticien formé ; il est multi-vues, aucun diagramme ne prétendant décrire le système entier ; il est indépendant du langage de programmation, ce qui permet de raisonner sur la structure avant le code.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Sa limite est qu’un diagramme UML ne prouve rien. Il communique une intention, et la conformité entre le modèle et le code n’est garantie que par une vérification explicite. UML définit une quinzaine de types de diagrammes, répartis en deux familles : les diagrammes de structure, qui décrivent l’organisation statique du système, et les diagrammes de comportement, dont relèvent les diagrammes d’interaction. En retenir la totalité serait un exercice scolaire sans valeur. Nous avons retenu ceux qui suivent parce que chacun répond à une question précise que le projet posait. Nous les avons tous tracés avec draw.io, un éditeur de diagrammes libre dont le format de fichier reste ouvert et modifiable, ce qui permet de les reprendre sans dépendre d’un logiciel propriétaire.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Sa limite est qu’un diagramme UML ne prouve rien : il communique une intention, et seule une vérification explicite garantit la conformité entre le modèle et le code. UML définit une quinzaine de types de diagrammes, répartis en deux familles : les diagrammes de structure, qui décrivent l’organisation statique du système, et les diagrammes de comportement, dont relèvent les diagrammes d’interaction. Nous n’avons retenu que ceux qui répondent chacun à une question précise du projet, et nous les avons tous tracés avec draw.io, un éditeur libre dont le format reste ouvert et modifiable, ce qui permet de les reprendre sans dépendre d’un logiciel propriétaire.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écarté quatre diagrammes fréquents, et il faut dire pourquoi. Le diagramme d’états-transitions n’a pas été produit sous forme graphique : les machines à états du système sont décrites sous forme de tables de transitions, plus denses et plus vérifiables. Le diagramme de paquetages n’apporterait rien de plus que le diagramme de composants, l’organisation du code étant déjà lisible dans ce dernier. Le diagramme de séquence objets et le diagramme de communication ont été écartés pour la même raison. Ils montrent les mêmes objets et les mêmes échanges que les diagrammes de séquence système du chapitre 5. Seule la forme change. Les produire aurait ajouté des planches sans ajouter d’information.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écarté quatre diagrammes fréquents. Le diagramme d’états-transitions n’a pas été produit sous forme graphique : les machines à états du système sont décrites par des tables de transitions, plus denses et plus vérifiables. Le diagramme de paquetages n’apporterait rien de plus que le diagramme de composants, où l’organisation du code est déjà lisible. Le diagramme de séquence objets et le diagramme de communication montrent les mêmes objets et les mêmes échanges que les diagrammes de séquence système du chapitre 5 : seule la forme change. Les produire aurait ajouté des planches sans ajouter d’information.</w:t>
      </w:r>
    </w:p>
    <w:p>
      <w:pPr>
        <w:spacing w:after="120" w:line="300"/>
        <w:jc w:val="both"/>
      </w:pPr>
      <w:r>
        <w:rPr>
          <w:rFonts w:ascii="Times New Roman" w:cs="Times New Roman" w:eastAsia="Times New Roman" w:hAnsi="Times New Roman"/>
          <w:b/>
          <w:bCs/>
          <w:i/>
          <w:iCs/>
          <w:sz w:val="20"/>
          <w:szCs w:val="20"/>
        </w:rPr>
        <w:t xml:space="preserve">3.4 Justification du choix de 2TUP couplé à UML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Trois caractéristiques du projet ont commandé notre choix. La première est la double nature des contraintes. Le besoin métier — accueillir, trier, consulter, prescrire, orienter — est classique pour un centre de santé. La contrainte technique — fonctionner sans connexion, sur deux sites, avec réconciliation automatique — l’est beaucoup moins. C’est exactement la configuration pour laquelle la séparation en deux branches a été conçue.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Trois caractéristiques du projet ont commandé notre choix. La première est la double nature des contraintes. Le besoin métier — accueillir, trier, consulter, prescrire, orienter — est classique pour un centre de santé ; la contrainte technique — fonctionner sans connexion, sur deux sites, avec réconciliation automatique — l’est beaucoup moins. C’est exactement la configuration pour laquelle la séparation en deux branches a été conçue.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deuxième est la taille du projet et de l’équipe : deux étudiants, quelques dizaines de milliers de lignes. Le Processus Unifié complet aurait produit plus de documentation que de logiciel. 2TUP reste praticable à cette échelle. La troisième est le besoin de traçabilité. Un système manipulant des données de santé doit pouvoir justifier chacune de ses règles. L’orientation par les cas d’utilisation fournit le fil qui relie un besoin observé à une règle métier, puis à un écran, une route, une entité et un test.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deuxième est la taille du projet et de l’équipe : deux étudiants et environ 122 000 lignes de code. Le Processus Unifié complet aurait produit plus de documentation que de logiciel ; 2TUP reste praticable à cette échelle. La troisième est le besoin de traçabilité : un système qui manipule des données de santé doit pouvoir justifier chacune de ses règles, et l’orientation par les cas d’utilisation relie un besoin observé à une règle métier, puis à un écran, une route, une entité et un test.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Merise reste solide pour concevoir une base de données, et son modèle conceptuel a inspiré la démarche de modélisation des données de ce projet. Mais elle est structurellement orientée données et traitements, non objet. Or l’application repose sur une modélisation objet de bout en bout : Merise aurait obligé à traduire deux fois.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Merise reste solide pour concevoir une base de données, et son modèle conceptuel a inspiré la modélisation des données de ce projet. Mais elle est orientée données et traitements, non objet. Or l’application repose sur une modélisation objet de bout en bout : Merise aurait obligé à traduire deux fois.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Scrum, de son côté, est un cadre de gestion et non une méthode de conception. Il organise le travail sans rien dire de la façon de modéliser, et il aurait fallu lui adjoindre UML de toute façon. Ses rituels supposent en outre une équipe de plusieurs personnes et un commanditaire disponible : à deux étudiants, ils deviennent une formalité vide. Nous avons en revanche retenu son caractère itératif : notre développement a bien procédé par incréments fonctionnels.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Scrum est un cadre de gestion, non une méthode de conception : il organise le travail sans rien dire de la façon de modéliser, et il aurait fallu lui adjoindre UML de toute façon. Ses rituels supposent en outre une équipe de plusieurs personnes et un commanditaire disponible ; à deux étudiants, ils deviennent une formalité vide. Nous en avons retenu le caractère itératif : notre développement a procédé par incréments fonctionnels.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2TUP offre donc le meilleur compromis. Il apporte la rigueur de modélisation du Processus Unifié, la séparation des préoccupations adaptée à un projet à forte contrainte technique, et une charge documentaire soutenable pour une équipe de deux. Une limite doit cependant être notée. 2TUP structure la conception, il ne remplace pas l’accès au terrain. Notre volet fonctionnel est resté dépendant de la disponibilité du recueil de l’existant et des entretiens conduits pendant le stage. Aucune méthode ne compense une source manquante : elle rend simplement visible ce qui manque.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2TUP offre donc le meilleur compromis : la rigueur de modélisation du Processus Unifié, une séparation des préoccupations adaptée à un projet à forte contrainte technique, et une charge documentaire soutenable pour une équipe de deux. Il a cependant une limite : il structure la conception, mais ne remplace pas l’accès au terrain. Notre volet fonctionnel est resté dépendant du recueil de l’existant et des entretiens conduits pendant le stage. Aucune méthode ne compense une source manquante ; elle rend seulement visible ce qui manque.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 même, le caractère itératif du Processus Unifié suppose des retours d’utilisateurs entre les itérations. Ces retours ont été limités, faute d’accès continu au personnel du centre. Nous avons donc guidé nos itérations davantage par l’analyse que par l’usage observé.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 même, le caractère itératif du Processus Unifié suppose des retours d’utilisateurs entre les itérations. Faute d’accès continu au personnel du centre, ces retours ont été limités, et nous avons guidé nos itérations davantage par l’analyse que par l’usage observé.</w:t>
      </w:r>
    </w:p>
    <w:p>
      <w:pPr>
        <w:spacing w:after="120" w:line="300"/>
        <w:jc w:val="both"/>
      </w:pPr>
      <w:r>
        <w:rPr>
          <w:rFonts w:ascii="Times New Roman" w:cs="Times New Roman" w:eastAsia="Times New Roman" w:hAnsi="Times New Roman"/>
          <w:b/>
          <w:bCs/>
          <w:i/>
          <w:iCs/>
          <w:sz w:val="20"/>
          <w:szCs w:val="20"/>
        </w:rPr>
        <w:t xml:space="preserve">3.5 Déroulement de la démarche dans ce mémoire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démarche que nous venons de décrire gouverne l’organisation de la suite du document. Chaque étape du Y correspond à une partie identifiée du mémoire, et le lecteur peut ainsi situer à tout moment où il se trouve dans le processus.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démarche gouverne l’organisation de la suite du document : chaque étape du Y correspond à une partie identifiée du mémoire, ce qui permet au lecteur de situer à tout moment où il se trouve dans le processus.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L’étude préliminaire occupe le chapitre 4. Elle recueille l’existant, en dresse la critique et fixe les orientations du futur système. C’est le tronc commun, avant que les deux branches ne se séparent.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L’étude préliminaire occupe le chapitre 4 : elle recueille l’existant, en dresse la critique et fixe les orientations du futur système. C’est le tronc commun, avant que les deux branches ne se séparent.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branche fonctionnelle occupe le chapitre 5. Elle part des processus métier du centre pour en tirer les besoins fonctionnels et non fonctionnels, puis les acteurs, les cas d’utilisation et les diagrammes de séquence système. Rien de technique n’y intervient : le modèle qu’elle produit resterait valable avec un autre langage et une autre base de données.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branche fonctionnelle occupe le chapitre 5 : elle tire des processus métier les besoins fonctionnels et non fonctionnels, puis les acteurs, les cas d’utilisation et les diagrammes de séquence système. Rien de technique n’y intervient.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branche technique occupe le chapitre 6. Elle part des contraintes d’exploitation — fonctionner sans connexion, sur deux sites, avec réconciliation automatique — et construit l’architecture qui les satisfait, indépendamment des fonctions à rendre.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branche technique occupe le chapitre 6 : elle part des contraintes d’exploitation — fonctionner sans connexion, sur deux sites, avec réconciliation automatique — et construit l’architecture qui les satisfait.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convergence des deux branches occupe le chapitre 7. Le modèle du métier y est projeté sur l’architecture technique : les entités du domaine deviennent des modèles de données, les cas d’utilisation des écrans et des services, les règles métier des contrôles. La construction, les tests et la mise en production y sont rapportés, itération par itération.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convergence occupe le chapitre 7 : le modèle du métier y est projeté sur l’architecture technique, puis la construction, les tests et la mise en production y sont rapportés.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points du Processus Unifié ne reçoivent pas de chapitre propre. La gestion des risques apparaît là où les risques se présentent, notamment dans la priorisation des cas d’utilisation au chapitre 5. Le déploiement est traité dans la dernière section du chapitre 7, la mise en service n’ayant pas dépassé le cadre académique.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Deux points du Processus Unifié ne reçoivent pas de chapitre propre. La gestion des risques apparaît là où les risques se présentent, notamment dans la priorisation des cas d’utilisation au chapitre 5. Le déploiement est traité au § 7.7, la mise en service n’ayant pas dépassé le cadre académique.</w:t>
      </w:r>
    </w:p>
    <w:p>
      <w:pPr>
        <w:spacing w:after="120" w:line="300"/>
        <w:jc w:val="both"/>
      </w:pPr>
      <w:r>
        <w:rPr>
          <w:rFonts w:ascii="Times New Roman" w:cs="Times New Roman" w:eastAsia="Times New Roman" w:hAnsi="Times New Roman"/>
          <w:b/>
          <w:bCs/>
          <w:i/>
          <w:iCs/>
          <w:sz w:val="20"/>
          <w:szCs w:val="20"/>
        </w:rPr>
        <w:t xml:space="preserve">Conclusion du chapitre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Dans ce chapitre, nous avons posé le cadre méthodologique de notre travail. Le Processus Unifié fournit les principes : pilotage par les cas d’utilisation, centrage sur l’architecture, itération, gestion des risques. 2TUP en donne une déclinaison praticable, dont l’apport propre est la séparation d’une branche fonctionnelle et d’une branche technique qui ne convergent qu’à la conception. UML fournit le vocabulaire visuel, dont nous avons retenu sept types de diagrammes. Ce cadre gouverne l’ensemble de la Partie II.</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Processus Unifié fournit les principes : pilotage par les cas d’utilisation, centrage sur l’architecture, itération, gestion des risques. 2TUP en donne une déclinaison praticable, dont l’apport propre est la séparation d’une branche fonctionnelle et d’une branche technique qui ne convergent qu’à la conception. UML fournit le vocabulaire visuel, dont nous avons retenu sept types de diagrammes. Ce cadre gouverne l’ensemble de la Partie II.</w:t>
      </w:r>
    </w:p>
    <w:p>
      <w:pPr>
        <w:pStyle w:val="Heading2"/>
        <w:spacing w:after="120" w:before="240"/>
      </w:pPr>
      <w:r>
        <w:rPr>
          <w:rFonts w:ascii="Times New Roman" w:cs="Times New Roman" w:eastAsia="Times New Roman" w:hAnsi="Times New Roman"/>
          <w:b/>
          <w:bCs/>
          <w:sz w:val="24"/>
          <w:szCs w:val="24"/>
        </w:rPr>
        <w:t xml:space="preserve">CHAPITRE 4 — ÉTUDE DE L’EXISTANT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 chapitre applique la phase d’étude de l’existant de 2TUP. Nous décrivons d’abord les processus de soin en place avant le projet, puis l’état du système informatique du Service Médico-Social. Nous en tirons les besoins recueillis, une critique structurée de la situation, et les orientations qui fondent la solution retenue.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chapitre constitue l’étude préliminaire de 2TUP. Il décrit les processus de soin en place avant le projet, puis l’état du système informatique, et en tire les besoins recueillis, une critique de la situation et les orientations qui fondent la solution retenue.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nous appuyons sur deux sources. Le recueil de l’existant, produit lors du stage à partir de quatre entretiens semi-directifs, en est la source primaire. Le rapport de stage a permis d’inventorier l’organisation informatique, le parc matériel et les applications en production. Les entretiens ont été conduits par l’équipe du projet ; l’analyse des résultats, la sélection du périmètre, la conception et la réalisation relèvent de notre travail commun.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nous appuyons sur deux sources. Le recueil de l’existant, produit pendant le stage à partir de quatre entretiens semi-directifs, est la source primaire. Le rapport de stage a permis d’inventorier l’organisation informatique, le parc matériel et les applications en production. Les entretiens ont été conduits par l’équipe du projet ; l’analyse des résultats, la sélection du périmètre, la conception et la réalisation relèvent de notre travail commun.</w:t>
      </w:r>
    </w:p>
    <w:p>
      <w:pPr>
        <w:spacing w:after="120" w:line="300"/>
        <w:jc w:val="both"/>
      </w:pPr>
      <w:r>
        <w:rPr>
          <w:rFonts w:ascii="Times New Roman" w:cs="Times New Roman" w:eastAsia="Times New Roman" w:hAnsi="Times New Roman"/>
          <w:b/>
          <w:bCs/>
          <w:i/>
          <w:iCs/>
          <w:sz w:val="20"/>
          <w:szCs w:val="20"/>
        </w:rPr>
        <w:t xml:space="preserve">4.1 Démarche du recueil et sources mobilisées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collecté ces données par entretien semi-directif, auprès de quatre acteurs choisis pour couvrir l’ensemble de la chaîne médico-sociale. Ce choix se justifie par la nature de l’objet étudié. Le fonctionnement du centre reposait largement sur des pratiques non écrites : l’ordre de passage tenu de mémoire, la vérification du droit aux prises en charge par contrôle visuel du badge, la délégation de prescription accordée verbalement. Aucun document n’aurait permis de les reconstituer.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collecté ces données par entretien semi-directif, auprès de quatre acteurs choisis pour couvrir toute la chaîne médico-sociale. Ce choix tient à la nature de l’objet étudié : le fonctionnement du centre reposait largement sur des pratiques non écrites — l’ordre de passage tenu de mémoire, la vérification du droit aux prises en charge par contrôle visuel du badge, la délégation de prescription accordée oralement. Aucun document n’aurait permis de les reconstituer.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L’entretien semi-directif présente en outre un avantage sur le questionnaire fermé : il laisse place à ce qui n’était pas prévu. Le recueil en porte la trace, avec au moins un besoin exprimé spontanément. Les entretiens se sont déroulés pendant le stage, du 15 janvier au 14 avril 2026. Les quatre entretiens prévus ont été conduits et complétés. Nous ne nommons pas les personnes rencontrées : l’autorisation de les citer n’ayant pas été formellement recueillie, elles sont désignées par leur fonction.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L’entretien semi-directif laisse en outre place à ce qui n’était pas prévu, contrairement au questionnaire fermé : le recueil compte au moins un besoin exprimé spontanément. Les quatre entretiens prévus ont été conduits et complétés pendant le stage, du 15 janvier au 14 avril 2026. Nous ne nommons pas les personnes rencontrées : l’autorisation de les citer n’ayant pas été formellement recueillie, elles sont désignées par leur fonction.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Notre choix d’interlocuteurs n’est pas exhaustif de l’effectif du centre, mais il l’est de ses fonctions. Chaque étape du parcours d’un patient est représentée, de son arrivée à la validation administrative de ses documents.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Notre choix d’interlocuteurs n’est pas exhaustif de l’effectif du centre, mais il l’est de ses fonctions : chaque étape du parcours d’un patient est représentée, de son arrivée à la validation administrative de ses documents.</w:t>
      </w:r>
    </w:p>
    <w:p>
      <w:pPr>
        <w:spacing w:after="120" w:line="300"/>
        <w:jc w:val="both"/>
      </w:pPr>
      <w:r>
        <w:rPr>
          <w:rFonts w:ascii="Times New Roman" w:cs="Times New Roman" w:eastAsia="Times New Roman" w:hAnsi="Times New Roman"/>
          <w:b/>
          <w:bCs/>
          <w:i/>
          <w:iCs/>
          <w:sz w:val="20"/>
          <w:szCs w:val="20"/>
        </w:rPr>
        <w:t xml:space="preserve">4.2 Les processus métier soumis à l’étude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domaine couvert par ce travail est le domaine médical du Service Médico-Social, et plus précisément le parcours de soin. Le recueil montre que ce service comprend trois domaines fonctionnels distincts, dont un seul entre dans le périmètre retenu.</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domaine couvert par ce travail est le domaine médical du Service Médico-Social, et plus précisément le parcours de soin. Le service comprend trois domaines fonctionnels distincts, dont un seul entre dans le périmètre retenu.</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délimitation est une décision de cadrage, que nous justifions au chapitre 2. Quant à l’existence d’un schéma directeur informatique couvrant le domaine médical, elle n’a pas pu être établie. Trois indices suggèrent qu’il n’en existait pas : l’absence de tout système d’information médical, l’échec non corrigé de deux outils tableur, et l’absence d’appui informatique dédié.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délimitation est justifiée au chapitre 2. L’existence d’un schéma directeur informatique couvrant le domaine médical n’a pas pu être établie, et trois indices suggèrent qu’il n’en existait pas : l’absence de tout système d’information médical, l’échec non corrigé de deux outils tableur, et l’absence d’appui informatique dédié.</w:t>
      </w:r>
    </w:p>
    <w:p>
      <w:pPr>
        <w:spacing w:after="120" w:line="300"/>
        <w:jc w:val="both"/>
      </w:pPr>
      <w:r>
        <w:rPr>
          <w:rFonts w:ascii="Times New Roman" w:cs="Times New Roman" w:eastAsia="Times New Roman" w:hAnsi="Times New Roman"/>
          <w:b/>
          <w:bCs/>
          <w:i/>
          <w:iCs/>
          <w:sz w:val="20"/>
          <w:szCs w:val="20"/>
        </w:rPr>
        <w:t xml:space="preserve">4.3 Le processus de consultation avant le projet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processus antérieur est représenté sur deux planches : la Figure 4.1 couvre le triage et le recueil clinique, la Figure 4.2 la consultation, la décision et la clôture. Un point mérite d’être souligné d’emblée : ce processus était structuré et formalisé. Le Médecin Chef l’avait défini par écrit, en quatre étapes standardisées. Ce qui manquait n’était pas la méthode, mais l’outil pour l’appliquer et en conserver la trace.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processus antérieur est représenté sur deux planches : la Figure 4.1 couvre le triage et le recueil clinique, la Figure 4.2 la consultation, la décision et la clôture. Ce processus était structuré : le Médecin Chef l’avait défini par écrit, en quatre étapes standardisées. Ce qui manquait n’était pas la méthode, mais l’outil pour l’appliquer et en conserver la trace.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première étape est le triage et l’accueil par l’infirmière. Elle relève le statut du patient, puis son identité. Vient ensuite un formulaire structuré de neuf variables de mode de vie : tabac, alcool, drogues, activité physique, alimentation, sommeil, sédentarité professionnelle, port de charges lourdes, automédication. Les antécédents personnels et familiaux sont enfin recueillis.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première étape est le triage et l’accueil par l’infirmière : elle relève le statut du patient, puis son identité, remplit un formulaire de neuf variables de mode de vie — tabac, alcool, drogues, activité physique, alimentation, sommeil, sédentarité professionnelle, port de charges lourdes, automédication — et recueille les antécédents personnels et familiaux.</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variante existe pour les consultations spécialisées, où le triage est allégé. L’infirmière collecte seulement le statut et l’identité, puis oriente directement vers le spécialiste. La délégation de prescription mérite d’être détaillée, car le système la reprend telle quelle. Le Médecin Chef cumule la prise en charge médicale et la gestion administrative du centre. Le recueil identifie cette surcharge comme son principal point de tension. Il avait donc mis en place une délégation partielle à certains infirmiers formés.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Pour les consultations spécialisées, le triage est allégé : l’infirmière collecte seulement le statut et l’identité, puis oriente directement vers le spécialiste. La délégation de prescription mérite d’être détaillée, car le système la reprend telle quelle. Pour alléger sa surcharge, décrite au chapitre 1, le Médecin Chef avait mis en place une délégation partielle à certains infirmiers formés.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règle absolue l’encadre : « dès qu’un doute ou une complexité apparaît, le dossier est immédiatement remis au Médecin Chef, qui devient seul décisionnaire ». Cette délégation reposait toutefois sur un accord verbal ou écrit, sans contrôle systématique ni traçabilité fiable. Rien ne permettait d’établir après coup sous quelle autorisation un acte avait été prescrit. Le centre appliquait enfin une règle de confidentialité stricte, différenciée selon les acteurs.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Une règle absolue l’encadre : « dès qu’un doute ou une complexité apparaît, le dossier est immédiatement remis au Médecin Chef, qui devient seul décisionnaire ». Cette délégation reposait toutefois sur un accord verbal ou écrit, sans contrôle systématique : rien ne permettait d’établir après coup sous quelle autorisation un acte avait été prescrit. Le centre appliquait enfin une règle de confidentialité stricte, différenciée selon les acteurs.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règle existait donc avant le projet. Elle n’était simplement garantie par aucun dispositif technique : un poste, un fichier partagé, aucune authentification. Le système ne l’a pas inventée, il l’a rendue opposable.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règle existait donc avant le projet, mais aucun dispositif technique ne la garantissait : un poste, un fichier partagé, aucune authentification. Le système ne l’a pas inventée, il l’a rendue opposable.</w:t>
      </w:r>
    </w:p>
    <w:p>
      <w:pPr>
        <w:spacing w:after="120" w:line="300"/>
        <w:jc w:val="both"/>
      </w:pPr>
      <w:r>
        <w:rPr>
          <w:rFonts w:ascii="Times New Roman" w:cs="Times New Roman" w:eastAsia="Times New Roman" w:hAnsi="Times New Roman"/>
          <w:b/>
          <w:bCs/>
          <w:i/>
          <w:iCs/>
          <w:sz w:val="20"/>
          <w:szCs w:val="20"/>
        </w:rPr>
        <w:t xml:space="preserve">4.4 L’organisation informatique et le personnel qui la porte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 constat structurant se dégage de cette organisation. Le service informatique dépend de la Direction Administrative et Financière, tandis que le Service Médico-Social dépend de la Direction des Ressources Humaines. Ce sont deux directions distinctes. Cette séparation éclaire un fait relevé lors des entretiens. Aucun des quatre acteurs interrogés au centre médical n’adresse de besoin à un service informatique, et aucun problème constaté ne lui est attribué. Le fichier tableur de la pharmacie, qui perd ses données à chaque fermeture, est resté en usage pendant des années sans correctif.</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service informatique dépend de la Direction Administrative et Financière, le Service Médico-Social de la Direction des Ressources Humaines. Cette séparation éclaire un fait relevé lors des entretiens : aucun des quatre acteurs interrogés n’adresse de besoin à un service informatique, ni ne lui attribue un problème. Le fichier tableur de la pharmacie, qui perd ses données à chaque fermeture, est ainsi resté en usage pendant des années sans correctif.</w:t>
      </w:r>
    </w:p>
    <w:p>
      <w:pPr>
        <w:spacing w:after="120" w:line="300"/>
        <w:jc w:val="both"/>
      </w:pPr>
      <w:r>
        <w:rPr>
          <w:rFonts w:ascii="Times New Roman" w:cs="Times New Roman" w:eastAsia="Times New Roman" w:hAnsi="Times New Roman"/>
          <w:b/>
          <w:bCs/>
          <w:i/>
          <w:iCs/>
          <w:sz w:val="20"/>
          <w:szCs w:val="20"/>
        </w:rPr>
        <w:t xml:space="preserve">4.5 L’infrastructure réseau et le parc matériel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centre opère sur deux sites distants, Moutela et Nkayi, entre lesquels le personnel tourne selon un planning de permutation. Comme l’établit le chapitre 1, aucun système d’information ne reliait ces deux sites : chacun fonctionnait de façon autonome avec ses propres fichiers. Nous n’avons pas pu caractériser techniquement le réseau : ni la topologie, ni les équipements actifs, ni la liaison entre les sites, ni le taux d’indisponibilité. Les entretiens ont porté sur les processus métier plutôt que sur l’infrastructure.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Comme l’établit le chapitre 1, aucun système d’information ne reliait les deux sites : chacun fonctionnait avec ses propres fichiers. Nous n’avons pas pu caractériser le réseau lui-même, les entretiens ayant porté sur les processus métier (§ 4.1).</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versons cependant au dossier une observation indirecte. L’architecture retenue pour le système est entièrement conçue pour fonctionner sans réseau : réplication complète des données sur chaque poste, serveur applicatif embarqué, résolution automatique des conflits. On ne consent pas le surcoût d’un tel dispositif pour un environnement où la connexion serait fiable. Cette observation établit qu’un problème de connectivité existait, sans en établir ni l’ampleur ni la fréquence.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versons cependant au dossier une observation indirecte. L’architecture retenue est entièrement conçue pour fonctionner sans réseau : réplication complète des données sur chaque poste, serveur applicatif embarqué, résolution automatique des conflits. On ne consent pas un tel surcoût là où la connexion serait fiable. Cela établit qu’un problème de connectivité existait, sans en établir ni l’ampleur ni la fréquence.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Trois observations conditionnent le déploiement du système. Les postes fonctionnent sous Windows 10 et 11. Le client de bureau est donc compatible avec le parc existant, sans renouvellement matériel. Une couverture sans fil existe, y compris au centre médical, ce qui rend l’usage sur tablette envisageable. Des onduleurs protègent enfin les postes. Cela compte pour un système reposant sur une base de données locale : une coupure brutale pendant une écriture peut corrompre un fichier.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Trois observations conditionnent le déploiement. Les postes fonctionnent sous Windows 10 et 11 : le client de bureau est compatible avec le parc existant, sans renouvellement matériel. Une couverture sans fil existe, y compris au centre médical, ce qui rend l’usage sur tablette envisageable. Des onduleurs protègent enfin les postes, ce qui compte pour une base de données locale : une coupure brutale pendant une écriture peut corrompre un fichier.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réserve subsiste. Nous n’avons pas inventorié les quantités par type, leur répartition et leur état. Il faudra donc vérifier, avant tout déploiement, que les postes destinés au mode autonome disposent de l’espace disque et de la mémoire nécessaires.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n’avons inventorié ni les quantités, ni la répartition, ni l’état du parc (§ 4.1) : il faudra donc vérifier, avant tout déploiement, que les postes destinés au mode autonome disposent de l’espace disque et de la mémoire nécessaires.</w:t>
      </w:r>
    </w:p>
    <w:p>
      <w:pPr>
        <w:spacing w:after="120" w:line="300"/>
        <w:jc w:val="both"/>
      </w:pPr>
      <w:r>
        <w:rPr>
          <w:rFonts w:ascii="Times New Roman" w:cs="Times New Roman" w:eastAsia="Times New Roman" w:hAnsi="Times New Roman"/>
          <w:b/>
          <w:bCs/>
          <w:i/>
          <w:iCs/>
          <w:sz w:val="20"/>
          <w:szCs w:val="20"/>
        </w:rPr>
        <w:t xml:space="preserve">4.6 Les applications et outils en usage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rapport de stage en tire une conclusion sans ambiguïté : la gestion du Centre Médico-Sanitaire ne dispose d’aucune application informatique dédiée. Le contraste est frappant. L’entreprise dispose d’un progiciel couvrant la finance, la comptabilité, la paie et les stocks, d’une messagerie de groupe, et d’une protection des postes administrée de façon centralisée. Le centre médical, lui, fonctionne au papier. Ce n’est pas un défaut de maturité informatique de l’entreprise. C’est un domaine resté hors du champ de l’informatisation, pour la raison organisationnelle exposée plus haut.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rapport de stage est sans ambiguïté : la gestion du Centre Médico-Sanitaire ne dispose d’aucune application dédiée. Le contraste est frappant : l’entreprise dispose d’un progiciel couvrant la finance, la comptabilité, la paie et les stocks, d’une messagerie de groupe et d’une protection des postes administrée de façon centralisée, tandis que le centre médical fonctionne au papier. Ce n’est pas un défaut de maturité informatique de l’entreprise, mais un domaine resté hors du champ de l’informatisation, pour la raison organisationnelle exposée au § 4.4.</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cas du fichier « Mouvement de stock » mérite d’être détaillé, car il documente un défaut d’une gravité particulière. Le recueil en donne la description suivante : « le fichier Excel ne conserve pas les données d’une session à l’autre. Quand la pharmacienne ferme le fichier et le rouvre, les données de la session précédente peuvent disparaître. Un logiciel Excel de facturation avait également été mis en place mais a été abandonné pour la même raison. »</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cas du fichier « Mouvement de stock » documente un défaut d’une gravité particulière. Le recueil le décrit ainsi : « le fichier Excel ne conserve pas les données d’une session à l’autre. Quand la pharmacienne ferme le fichier et le rouvre, les données de la session précédente peuvent disparaître. Un logiciel Excel de facturation avait également été mis en place mais a été abandonné pour la même raison. »</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Il ne s’agit donc pas d’un outil imparfait, mais d’un outil qui ne remplit pas sa fonction première : un système de gestion de stock qui perd ses données est un système sans mémoire. Et la même cause a fait échouer une seconde tentative d’outillage. Non seulement les outils manquaient, mais ceux qui existaient avaient déjà échoué.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n’est donc pas un outil imparfait, mais un outil qui ne remplit pas sa fonction première : un système de gestion de stock qui perd ses données est un système sans mémoire. Et la même cause avait déjà fait échouer une seconde tentative d’outillage.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question technique reste par ailleurs ouverte. Le service des ressources humaines traite les dossiers en paie, ce qui suppose un système détenant le registre des employés et leurs matricules. Aucune interface avec le centre médical n’est cependant documentée. Notre système implémente en conséquence son propre registre. La question de son interopérabilité avec la paie — ou, à défaut, de la double saisie qui en résulte — devra être tranchée avant une mise en service réelle.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Une question technique reste ouverte. Le service des ressources humaines traite la paie, ce qui suppose un système détenant le registre des employés et leurs matricules, mais aucune interface avec le centre médical n’est documentée. Notre système tient donc son propre registre. Son interopérabilité avec la paie — ou, à défaut, la double saisie qui en résulte — devra être tranchée avant une mise en service réelle.</w:t>
      </w:r>
    </w:p>
    <w:p>
      <w:pPr>
        <w:spacing w:after="120" w:line="300"/>
        <w:jc w:val="both"/>
      </w:pPr>
      <w:r>
        <w:rPr>
          <w:rFonts w:ascii="Times New Roman" w:cs="Times New Roman" w:eastAsia="Times New Roman" w:hAnsi="Times New Roman"/>
          <w:b/>
          <w:bCs/>
          <w:i/>
          <w:iCs/>
          <w:sz w:val="20"/>
          <w:szCs w:val="20"/>
        </w:rPr>
        <w:t xml:space="preserve">4.7 La gestion des données médicales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Quatre supports se partageaient la gestion de l’information médicale, avec des portées très différentes. Le carnet de santé individuel, transporté par le patient, assurait la circulation de l’information entre les étapes du parcours. Le classeur papier servait à retrouver un patient déjà connu. Le registre servait à enregistrer les passages. Et un fichier tableur produisait les comptages. Ces trois derniers supports étaient locaux à chaque site. L’information ne circulait donc pas dans un système : elle circulait physiquement. Le carnet passait de l’infirmière au médecin, revenait au triage, puis repartait avec le patient.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Quatre supports se partageaient l’information médicale : le carnet de santé individuel, transporté par le patient, qui la faisait circuler entre les étapes du parcours ; le classeur papier, pour retrouver un patient déjà connu ; le registre, pour enregistrer les passages ; et un fichier tableur, pour les comptages. Ces trois derniers étaient locaux à chaque site. L’information ne circulait donc pas dans un système, mais physiquement : le carnet passait de l’infirmière au médecin, revenait au triage, puis repartait avec le patient.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Trois conséquences en découlent. Entre les étapes d’une même visite, l’information se transmettait correctement, car le carnet la portait. Entre deux visites, elle dépendait entièrement de la conservation de ce carnet par le patient. Entre les deux sites enfin, elle ne circulait pas du tout : la consolidation était assurée à la main par le Médecin Chef, a posteriori, et jamais au moment du soin.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Trois conséquences en découlent. Entre les étapes d’une même visite, l’information passait correctement, car le carnet la portait. Entre deux visites, elle dépendait de la conservation du carnet par le patient. Entre les deux sites, elle ne circulait pas : le Médecin Chef consolidait à la main, a posteriori, jamais au moment du soin.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échanges entre le centre et le service des ressources humaines transitaient exclusivement par deux canaux. Le papier d’abord : feuilles de repos, ordonnances, reçus, certificats d’évacuation, bons de caisse. L’oral ensuite. Le recueil en tire une conclusion nette : « l’absence de format numérique structuré constitue un facteur de risque important : les informations verbales ne laissent aucune trace, et les documents papier sont exposés aux pertes, erreurs de saisie et difficultés d’archivage et de recherche ».</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échanges entre le centre et le service des ressources humaines passaient exclusivement par le papier — feuilles de repos, ordonnances, reçus, certificats d’évacuation, bons de caisse — et par l’oral. Le recueil en conclut : « l’absence de format numérique structuré constitue un facteur de risque important : les informations verbales ne laissent aucune trace, et les documents papier sont exposés aux pertes, erreurs de saisie et difficultés d’archivage et de recherche ».</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Il apporte une nuance essentielle sur la fiabilité. Celle-ci « repose essentiellement sur la confiance dans le personnel médical et sur les contrôles ponctuels réalisés. Elle n’est pas garantie par un système de validation numérique ou de traçabilité automatisée ». Autrement dit, la fiabilité constatée était le produit du sérieux des personnes, non d’un dispositif technique. Les procédures d’archivage et l’existence de sauvegardes n’ont pas été documentées.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Il apporte une nuance essentielle : la fiabilité « repose essentiellement sur la confiance dans le personnel médical et sur les contrôles ponctuels réalisés. Elle n’est pas garantie par un système de validation numérique ou de traçabilité automatisée ». La fiabilité constatée était donc le produit du sérieux des personnes, non d’un dispositif technique.</w:t>
      </w:r>
    </w:p>
    <w:p>
      <w:pPr>
        <w:spacing w:after="120" w:line="300"/>
        <w:jc w:val="both"/>
      </w:pPr>
      <w:r>
        <w:rPr>
          <w:rFonts w:ascii="Times New Roman" w:cs="Times New Roman" w:eastAsia="Times New Roman" w:hAnsi="Times New Roman"/>
          <w:b/>
          <w:bCs/>
          <w:i/>
          <w:iCs/>
          <w:sz w:val="20"/>
          <w:szCs w:val="20"/>
        </w:rPr>
        <w:t xml:space="preserve">4.8 Les dix-huit besoins recueillis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entretiens ont produit dix-huit besoins, dont huit de priorité haute. Une distinction méthodologique accompagne leur lecture. Un besoin exprimé a été formulé explicitement par un interlocuteur. Un besoin induit a été déduit d’un problème constaté, sans que l’interlocuteur en formule la solution. Un besoin spontané a été mentionné hors du questionnement prévu.</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entretiens ont produit dix-huit besoins, dont huit de priorité haute. Un besoin exprimé a été formulé explicitement par un interlocuteur ; un besoin induit a été déduit d’un problème constaté, sans que l’interlocuteur en formule la solution ; un besoin spontané a été mentionné hors du questionnement prévu.</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distinction importe : un besoin induit engage l’analyste, tandis qu’un besoin exprimé engage le terrain.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 besoin induit engage donc l’analyste, tandis qu’un besoin exprimé engage le terrain.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 tableau porte le constat déterminant du travail. Ces dix-huit besoins couvrent trois métiers distincts, qui ne partagent ni les mêmes règles, ni les mêmes objets, ni les mêmes acteurs. Aucun projet de fin de cycle ne pouvait les traiter ensemble sans devenir partout superficiel. C’est ce qui nous a conduits à sélectionner le périmètre exposé au chapitre 2.</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tableau porte le constat déterminant du travail : ces dix-huit besoins couvrent trois métiers distincts, qu’aucun projet de fin de cycle ne pouvait traiter ensemble sans devenir partout superficiel. D’où le périmètre exposé au chapitre 2.</w:t>
      </w:r>
    </w:p>
    <w:p>
      <w:pPr>
        <w:spacing w:after="120" w:line="300"/>
        <w:jc w:val="both"/>
      </w:pPr>
      <w:r>
        <w:rPr>
          <w:rFonts w:ascii="Times New Roman" w:cs="Times New Roman" w:eastAsia="Times New Roman" w:hAnsi="Times New Roman"/>
          <w:b/>
          <w:bCs/>
          <w:i/>
          <w:iCs/>
          <w:sz w:val="20"/>
          <w:szCs w:val="20"/>
        </w:rPr>
        <w:t xml:space="preserve">4.9 Forces et faiblesses de la situation actuelle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critique reste toutefois qualitative. Le recueil documente les problèmes sans les chiffrer : ni le nombre de dossiers dupliqués, ni les heures de dépouillement, ni la fréquence des ruptures.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critique reste qualitative, le recueil ne chiffrant pas les problèmes (§ 4.1).</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Trois constats se dégagent de cet état des lieux. Le centre ne disposait d’aucun système d’information médical, alors que l’entreprise exploitait un parc applicatif structuré. Les deux seuls outils informatiques mis en place au centre avaient échoué pour la même raison : la perte des données d’une session à l’autre. Et les échanges avec le service administratif transitaient exclusivement par le papier et par l’oral, sans trace ni possibilité de suivi.</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Trois constats s’en dégagent : aucun système d’information médical, alors que l’entreprise exploitait un parc applicatif structuré ; deux outils informatiques qui avaient échoué pour la même raison, la perte des données d’une session à l’autre ; des échanges avec le service administratif réduits au papier et à l’oral, sans trace ni suivi.</w:t>
      </w:r>
    </w:p>
    <w:p>
      <w:pPr>
        <w:spacing w:after="120" w:line="300"/>
        <w:jc w:val="both"/>
      </w:pPr>
      <w:r>
        <w:rPr>
          <w:rFonts w:ascii="Times New Roman" w:cs="Times New Roman" w:eastAsia="Times New Roman" w:hAnsi="Times New Roman"/>
          <w:b/>
          <w:bCs/>
          <w:i/>
          <w:iCs/>
          <w:sz w:val="20"/>
          <w:szCs w:val="20"/>
        </w:rPr>
        <w:t xml:space="preserve">4.10 Propositions de solutions et solution retenue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réserve s’impose sur ce tableau : nous n’avons conduit aucune étude de marché formelle. Les solutions A et B sont décrites génériquement, sans nommer de produit. Les appréciations relèvent d’une analyse des catégories, non d’essais comparatifs.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Une réserve s’impose : nous n’avons conduit aucune étude de marché formelle. Les solutions A et B sont décrites génériquement, sans nommer de produit, et les appréciations relèvent d’une analyse des catégories, non d’essais comparatifs.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règle de prise en charge est d’abord propre à l’entreprise : aucun progiciel générique ne la porte, et l’y ajouter reviendrait à développer sur mesure tout en payant une licence. Le fonctionnement sans connexion doit ensuite être réconciliable. C’est le point décisif, celui qui élimine les trois autres options. Un système centralisé s’arrête quand le réseau tombe. Le tableur continue, mais il fragmente, et il ne conserve même pas ce qu’il a enregistré. Seule une architecture répliquée avec résolution de conflit permet de travailler sans réseau, puis de retrouver une donnée cohérente.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règle de prise en charge est d’abord propre à l’entreprise : aucun progiciel générique ne la porte, et l’y ajouter reviendrait à développer sur mesure tout en payant une licence. Le fonctionnement sans connexion doit ensuite être réconciliable, et c’est le point qui élimine les trois autres options : un système centralisé s’arrête quand le réseau tombe ; le tableur continue, mais il fragmente et ne conserve même pas ce qu’il a enregistré. Seule une architecture répliquée avec résolution de conflit permet de travailler sans réseau, puis de retrouver une donnée cohérente.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confidentialité doit enfin être garantie techniquement, ce qu’aucun fichier partagé ne peut offrir. Nous assumons le coût de ce choix : un développement plus long, et une maintenance exigeant des compétences plus rares. En contrepartie, ni licence, ni dépendance à un éditeur, et une maîtrise complète des données de santé. Le coût de développement n’a pas été chiffré, le projet ayant été mené dans un cadre académique sans budget. Une mise en service réelle supposerait cette évaluation.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confidentialité doit enfin être garantie techniquement, ce qu’aucun fichier partagé ne peut offrir. Nous assumons le coût de ce choix : un développement plus long et une maintenance exigeant des compétences plus rares. En contrepartie : ni licence, ni dépendance à un éditeur, et une maîtrise complète des données de santé. Mené dans un cadre académique sans budget, le développement n’a pas été chiffré ; une mise en service réelle supposerait cette évaluation.</w:t>
      </w:r>
    </w:p>
    <w:p>
      <w:pPr>
        <w:spacing w:after="120" w:line="300"/>
        <w:jc w:val="both"/>
      </w:pPr>
      <w:r>
        <w:rPr>
          <w:rFonts w:ascii="Times New Roman" w:cs="Times New Roman" w:eastAsia="Times New Roman" w:hAnsi="Times New Roman"/>
          <w:b/>
          <w:bCs/>
          <w:i/>
          <w:iCs/>
          <w:sz w:val="20"/>
          <w:szCs w:val="20"/>
        </w:rPr>
        <w:t xml:space="preserve">4.11 Nouvelles orientations pour le futur système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choix de la solution fixe la nature du système à construire ; il ne dit pas encore ce qu’il doit faire. Les orientations qui suivent traduisent chaque dimension de la critique en une exigence de conception. Elles ne sont pas encore des besoins : elles donnent la direction, que la branche fonctionnelle transformera ensuite en besoins, puis en cas d’utilisation.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choix de la solution fixe la nature du système, pas encore ce qu’il doit faire. Les orientations suivantes traduisent chaque dimension de la critique en exigence de conception ; la branche fonctionnelle les transformera ensuite en besoins, puis en cas d’utilisation.</w:t>
      </w:r>
    </w:p>
    <w:p>
      <w:pPr>
        <w:spacing w:after="120" w:line="300"/>
        <w:jc w:val="both"/>
      </w:pPr>
      <w:r>
        <w:rPr>
          <w:rFonts w:ascii="Times New Roman" w:cs="Times New Roman" w:eastAsia="Times New Roman" w:hAnsi="Times New Roman"/>
          <w:b/>
          <w:bCs/>
          <w:i/>
          <w:iCs/>
          <w:sz w:val="20"/>
          <w:szCs w:val="20"/>
        </w:rPr>
        <w:t xml:space="preserve">Conclusion du chapitre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centre fonctionnait selon un processus formalisé en quatre étapes, appliqué sur support papier. Les quatre entretiens ont établi que ce dispositif fonctionnait, mais sans mémoire. Pas de dossier unique. Pas de consolidation automatique entre les sites. Pas de traçabilité des décisions. Pas de garantie technique de la confidentialité. Et des statistiques produites à la main.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centre fonctionnait selon un processus formalisé en quatre étapes, appliqué sur papier : un dispositif qui marchait, mais sans mémoire.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Dix-huit besoins ont été recueillis, couvrant trois métiers. Nous en avons sélectionné un, le parcours de soin, et retenu un développement sur mesure, fonctionnant sans connexion. C’est la seule option qui satisfait à la fois la continuité de service, la cohérence entre les sites et la règle de prise en charge propre à l’entreprise. Le chapitre suivant formalise les besoins de cette solution.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dix-huit besoins recueillis couvrent trois métiers. Nous avons retenu le parcours de soin et un développement sur mesure fonctionnant sans connexion : c’est la seule option qui satisfait à la fois la continuité de service, la cohérence entre les sites et la règle de prise en charge propre à l’entreprise. Le chapitre suivant formalise les besoins de cette solution.</w:t>
      </w:r>
    </w:p>
    <w:p>
      <w:pPr>
        <w:pStyle w:val="Heading2"/>
        <w:spacing w:after="120" w:before="240"/>
      </w:pPr>
      <w:r>
        <w:rPr>
          <w:rFonts w:ascii="Times New Roman" w:cs="Times New Roman" w:eastAsia="Times New Roman" w:hAnsi="Times New Roman"/>
          <w:b/>
          <w:bCs/>
          <w:sz w:val="24"/>
          <w:szCs w:val="24"/>
        </w:rPr>
        <w:t xml:space="preserve">CHAPITRE 5 — ANALYSE ET SPÉCIFICATION DES BESOINS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L’analyse des besoins est la première étape formelle de la branche fonctionnelle de 2TUP. Elle transforme une compréhension du métier en un ensemble d’exigences numérotées, d’acteurs identifiés et de cas d’utilisation spécifiés. Toute la conception s’appuiera dessus. Nous avons établi les besoins présentés ici par deux voies complémentaires. Les besoins exprimés proviennent du recueil de l’existant : ils disent ce que le centre demandait. Les besoins reconstitués proviennent de l’analyse du système réalisé — routes, permissions, écrans, règles — et disent ce que le système réalise.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L’analyse des besoins est la première étape formelle de la branche fonctionnelle de 2TUP : elle transforme une compréhension du métier en exigences numérotées, en acteurs identifiés et en cas d’utilisation spécifiés, sur lesquels s’appuie toute la conception. Nous avons établi les besoins par deux voies complémentaires. Les besoins exprimés proviennent du recueil de l’existant : ils disent ce que le centre demandait. Les besoins reconstitués proviennent de l’analyse du système réalisé — routes, permissions, écrans, règles — et disent ce que le système réalise.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deux ensembles ne se recouvrent pas exactement. Nous les confrontons plus loin.</w:t>
      </w:r>
    </w:p>
    <w:p>
      <w:pPr>
        <w:shd w:fill="E2EFDA" w:color="auto" w:val="clear"/>
        <w:spacing w:after="80" w:line="280"/>
        <w:jc w:val="both"/>
      </w:pPr>
      <w:r>
        <w:rPr>
          <w:rFonts w:ascii="Times New Roman" w:cs="Times New Roman" w:eastAsia="Times New Roman" w:hAnsi="Times New Roman"/>
          <w:b/>
          <w:bCs/>
          <w:sz w:val="20"/>
          <w:szCs w:val="20"/>
        </w:rPr>
        <w:t xml:space="preserve">Après : paragraphe supprimé </w:t>
      </w:r>
      <w:r>
        <w:rPr>
          <w:rFonts w:ascii="Times New Roman" w:cs="Times New Roman" w:eastAsia="Times New Roman" w:hAnsi="Times New Roman"/>
          <w:sz w:val="20"/>
          <w:szCs w:val="20"/>
        </w:rPr>
        <w:t xml:space="preserve">(son contenu est déjà dit juste après)</w:t>
      </w:r>
    </w:p>
    <w:p>
      <w:pPr>
        <w:spacing w:after="120" w:line="300"/>
        <w:jc w:val="both"/>
      </w:pPr>
      <w:r>
        <w:rPr>
          <w:rFonts w:ascii="Times New Roman" w:cs="Times New Roman" w:eastAsia="Times New Roman" w:hAnsi="Times New Roman"/>
          <w:b/>
          <w:bCs/>
          <w:i/>
          <w:iCs/>
          <w:sz w:val="20"/>
          <w:szCs w:val="20"/>
        </w:rPr>
        <w:t xml:space="preserve">5.1.1 Méthode : un processus, ses besoins fonctionnels, ses besoins non fonctionnels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besoins présentés ici ont deux origines, annoncées en tête de chapitre : ce que le personnel a demandé lors des entretiens, et ce que l’analyse du système réalisé met en évidence. Leur organisation, en revanche, obéit à une règle unique : le processus de soin.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Quelle que soit leur origine, les besoins sont organisés selon une règle unique : le processus de soin.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suivons le parcours du patient tel que le chapitre 4 le décrit — l’accueil et le triage, le recueil clinique, la consultation et la décision, la prescription, la sortie et le suivi. À chaque étape correspondent les besoins fonctionnels qu’elle met en jeu, c’est-à-dire ce que l’acteur doit pouvoir faire pour mener l’étape à son terme. S’y ajoutent les besoins qui ne dépendent d’aucune étape en particulier mais que tout le parcours suppose : l’accès des agents, les référentiels médicaux, le dossier du patient. Chaque besoin porte un identifiant, de BF01 à BF23, et une preuve dans le système réalisé, afin qu’aucun besoin ne soit déclaré sans être vérifiable.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suivons le parcours du patient décrit au chapitre 4 — l’accueil et le triage, le recueil clinique, la consultation et la décision, la prescription, la sortie et le suivi. À chaque étape correspondent les besoins fonctionnels qu’elle met en jeu : ce que l’acteur doit pouvoir faire pour mener l’étape à son terme. S’y ajoutent les besoins que tout le parcours suppose : l’accès des agents, les référentiels médicaux, le dossier du patient. Chaque besoin porte un identifiant, de BF01 à BF23, et une preuve dans le système réalisé, pour qu’aucun ne soit déclaré sans être vérifiable.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besoins non fonctionnels ne se rattachent pas davantage à une étape. Ils viennent des conditions dans lesquelles le centre travaille : deux sites distants, des coupures de réseau, des données de santé à protéger. Ces contraintes pèsent sur le système tout entier, et nous les traitons ensemble, de BNF01 à BNF13.</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besoins non fonctionnels, de BNF01 à BNF13, ne se rattachent à aucune étape : ils viennent des conditions de travail du centre — deux sites distants, des coupures de réseau, des données de santé à protéger — et pèsent sur le système tout entier.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Reste que les besoins demandés et les besoins du système ne se confondent pas. Certaines demandes du personnel sortent du périmètre retenu ; à l’inverse, plusieurs exigences que personne n’a formulées s’imposent dès qu’un système d’information manipule des données médicales. La confrontation des deux ensembles ferme cette section.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besoins demandés et les besoins du système ne se confondent pas : certaines demandes sortent du périmètre retenu, et plusieurs exigences que personne n’a formulées s’imposent dès qu’un système manipule des données médicales. Leur confrontation ferme cette section.</w:t>
      </w:r>
    </w:p>
    <w:p>
      <w:pPr>
        <w:spacing w:after="120" w:line="300"/>
        <w:jc w:val="both"/>
      </w:pPr>
      <w:r>
        <w:rPr>
          <w:rFonts w:ascii="Times New Roman" w:cs="Times New Roman" w:eastAsia="Times New Roman" w:hAnsi="Times New Roman"/>
          <w:b/>
          <w:bCs/>
          <w:i/>
          <w:iCs/>
          <w:sz w:val="20"/>
          <w:szCs w:val="20"/>
        </w:rPr>
        <w:t xml:space="preserve">5.1.2 Les besoins fonctionnels, processus par processus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issues prolongent le parcours au-delà de la consultation : l’orientation par évacuation, dont chaque étape doit être suivie (BF16), et l’ouverture d’un suivi de traitement alimenté par des fiches datées (BF17). Le parcours s’achève sur les documents cliniques remis au patient, qui doivent être imprimables (BF22).</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Deux issues prolongent le parcours au-delà de la consultation : l’orientation par évacuation, dont chaque étape doit être suivie (BF16), et l’ouverture d’un suivi de traitement alimenté par des fiches datées (BF17). Le parcours s’achève sur six documents imprimables : ordonnance, bon d’examen, bon de pharmacie, certificat de repos, fiche d’évacuation et dossier patient (BF22).</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Quatre besoins accompagnent le parcours sans en faire partie. Ils servent le fonctionnement du centre plutôt qu’un acte de soin : la messagerie interne entre agents (BF18), la notification en temps réel (BF19), le tableau de bord d’activité (BF20) et les rapports statistiques (BF21).</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Quatre besoins servent le fonctionnement du centre plutôt qu’un acte de soin : la messagerie interne entre agents (BF18), la notification en temps réel (BF19), le tableau de bord d’activité (BF20) et les rapports statistiques (BF21).</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 dernier besoin traverse tout le parcours. Le centre travaille sur deux sites et le réseau n’est pas toujours disponible : le système doit pouvoir fonctionner sans connexion, puis se resynchroniser (BF23).</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 dernier besoin traverse tout le parcours : le centre travaillant sur deux sites avec un réseau qui n’est pas toujours disponible, le système doit fonctionner sans connexion, puis se resynchroniser (BF23).</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tableau ci-dessous reprend ces vingt-trois besoins dans l’ordre de leur identifiant. Chacun est rattaché à l’élément du système qui le réalise, ce qui permet de vérifier qu’aucun besoin n’est déclaré sans preuve.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tableau ci-dessous reprend ces vingt-trois besoins par identifiant, chacun rattaché à l’élément du système qui le réalise : aucun besoin n’est déclaré sans preuve.</w:t>
      </w:r>
    </w:p>
    <w:p>
      <w:pPr>
        <w:spacing w:after="120" w:line="300"/>
        <w:jc w:val="both"/>
      </w:pPr>
      <w:r>
        <w:rPr>
          <w:rFonts w:ascii="Times New Roman" w:cs="Times New Roman" w:eastAsia="Times New Roman" w:hAnsi="Times New Roman"/>
          <w:b/>
          <w:bCs/>
          <w:i/>
          <w:iCs/>
          <w:sz w:val="20"/>
          <w:szCs w:val="20"/>
        </w:rPr>
        <w:t xml:space="preserve">5.1.3 Les besoins non fonctionnels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exigence attendue manque à cette liste, et son absence doit être justifiée. Nous n’avons établi aucune exigence chiffrée de temps de réponse. Elle ne figure ni dans le recueil, ni sous forme mesurable dans le code, et nous n’avons conduit aucune campagne de mesure. Annoncer un seuil serait une invention. Nous renvoyons le sujet aux perspectives.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Une exigence attendue manque : aucun temps de réponse chiffré. Il ne figure ni dans le recueil ni sous forme mesurable dans le code, et nous n’avons conduit aucune campagne de mesure ; annoncer un seuil serait une invention. Nous renvoyons le sujet aux perspectives.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constat mérite d’être relevé, car il dit quelque chose du travail d’analyse. Les acteurs ont demandé des tableaux de bord et un logiciel de stock, non de la sécurité ni de la traçabilité. L’utilisateur exprime ce qui lui manque au quotidien, non ce qui protège les données dont il a la charge. Le rôle de l’analyse est précisément de compléter le recueil par ces exigences implicites.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acteurs ont demandé des tableaux de bord et un logiciel de stock, non de la sécurité ni de la traçabilité : l’utilisateur exprime ce qui lui manque au quotidien, non ce qui protège les données dont il a la charge. Le rôle de l’analyse est de compléter le recueil par ces exigences implicites.</w:t>
      </w:r>
    </w:p>
    <w:p>
      <w:pPr>
        <w:spacing w:after="120" w:line="300"/>
        <w:jc w:val="both"/>
      </w:pPr>
      <w:r>
        <w:rPr>
          <w:rFonts w:ascii="Times New Roman" w:cs="Times New Roman" w:eastAsia="Times New Roman" w:hAnsi="Times New Roman"/>
          <w:b/>
          <w:bCs/>
          <w:i/>
          <w:iCs/>
          <w:sz w:val="20"/>
          <w:szCs w:val="20"/>
        </w:rPr>
        <w:t xml:space="preserve">5.1.4 Confrontation des besoins exprimés au périmètre retenu</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fois confrontés au périmètre que nous avons retenu, les dix-huit besoins recueillis se répartissent ainsi.</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Confrontés au périmètre retenu, les dix-huit besoins recueillis se répartissent ainsi.</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synthèse de cette confrontation tient en quatre nombres : six besoins couverts, quatre partiellement couverts, huit hors du périmètre retenu, et aucun besoin non couvert à l’intérieur du périmètre. Cette dernière valeur est la plus importante. Elle établit que nous n’avons pas laissé de trou dans le domaine que nous nous sommes donné.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synthèse tient en quatre nombres : six besoins couverts, quatre partiellement couverts, huit hors du périmètre retenu, et aucun besoin non couvert à l’intérieur du périmètre. Cette dernière valeur est la plus importante : elle établit qu’aucun trou n’a été laissé dans le domaine que nous nous sommes donné.</w:t>
      </w:r>
    </w:p>
    <w:p>
      <w:pPr>
        <w:spacing w:after="120" w:line="300"/>
        <w:jc w:val="both"/>
      </w:pPr>
      <w:r>
        <w:rPr>
          <w:rFonts w:ascii="Times New Roman" w:cs="Times New Roman" w:eastAsia="Times New Roman" w:hAnsi="Times New Roman"/>
          <w:b/>
          <w:bCs/>
          <w:i/>
          <w:iCs/>
          <w:sz w:val="20"/>
          <w:szCs w:val="20"/>
        </w:rPr>
        <w:t xml:space="preserve">5.2.1 Les acteurs du système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précisions sont indispensables. La première concerne la profession de médecin. Il n’existe pas de rôle « médecin » dans le système : tout médecin reçoit le rôle de médecin chef, car aucun droit ne les sépare. La seconde concerne l’administrateur système, qui détient la totalité du catalogue de permissions, actes cliniques compris. C’est un choix de gouvernance explicite pour ce déploiement, et il doit être énoncé plutôt que dissimulé. Dans un déploiement en établissement de santé, il conviendrait de retirer à ce rôle les permissions cliniques qui ne lui sont pas nécessaires.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Deux précisions s’imposent. Il n’existe pas de rôle « médecin » : tout médecin reçoit le rôle de médecin chef, aucun droit ne les séparant. L’administrateur système détient par ailleurs la totalité du catalogue de permissions, actes cliniques compris. C’est un choix de gouvernance explicite pour ce déploiement ; dans un établissement de santé, il faudrait retirer à ce rôle les permissions cliniques qui ne lui sont pas nécessaires.</w:t>
      </w:r>
    </w:p>
    <w:p>
      <w:pPr>
        <w:spacing w:after="120" w:line="300"/>
        <w:jc w:val="both"/>
      </w:pPr>
      <w:r>
        <w:rPr>
          <w:rFonts w:ascii="Times New Roman" w:cs="Times New Roman" w:eastAsia="Times New Roman" w:hAnsi="Times New Roman"/>
          <w:b/>
          <w:bCs/>
          <w:i/>
          <w:iCs/>
          <w:sz w:val="20"/>
          <w:szCs w:val="20"/>
        </w:rPr>
        <w:t xml:space="preserve">5.2.3 Frontière du système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Quatre domaines voisins n’en relèvent pas, et il importe de les nommer. La facturation et la comptabilité : le système émet des bons et jamais de facture, et aucun modèle ne porte de montant. La gestion de stock : le bon est un bon de retrait, sans suivi de quantité. Le laboratoire : seul le résultat revient dans le système, saisi manuellement. Et l’hospitalisation : le centre oriente par évacuation.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Quatre domaines voisins n’en relèvent pas. La facturation et la comptabilité : le système émet des bons et jamais de facture, et aucun modèle ne porte de montant. La gestion de stock : le bon est un bon de retrait, sans suivi de quantité. Le laboratoire : seul le résultat revient dans le système, saisi manuellement. L’hospitalisation : le centre oriente par évacuation.</w:t>
      </w:r>
    </w:p>
    <w:p>
      <w:pPr>
        <w:spacing w:after="120" w:line="300"/>
        <w:jc w:val="both"/>
      </w:pPr>
      <w:r>
        <w:rPr>
          <w:rFonts w:ascii="Times New Roman" w:cs="Times New Roman" w:eastAsia="Times New Roman" w:hAnsi="Times New Roman"/>
          <w:b/>
          <w:bCs/>
          <w:i/>
          <w:iCs/>
          <w:sz w:val="20"/>
          <w:szCs w:val="20"/>
        </w:rPr>
        <w:t xml:space="preserve">5.2.4 Les cas d’utilisation métier, issus des besoins fonctionnels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répartition est parlante. Le module Consultation et actes prescrits concentre à lui seul onze cas, dont huit de priorité haute : c’est le cœur du système, celui qui porte le parcours de soin. Le module Dossier patient vient ensuite avec neuf cas. À l’inverse, le module Communication ne comporte aucun cas de priorité haute. La messagerie répond au constat que l’information circule verbalement sans trace, mais elle ne conditionne pas le fonctionnement du parcours de soin.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module Consultation et actes prescrits concentre à lui seul onze cas, dont huit de priorité haute : c’est le cœur du système. Le module Dossier patient vient ensuite avec neuf cas. À l’inverse, le module Communication ne compte aucun cas de priorité haute : la messagerie est utile, mais ne conditionne pas le parcours de soin.</w:t>
      </w:r>
    </w:p>
    <w:p>
      <w:pPr>
        <w:spacing w:after="120" w:line="300"/>
        <w:jc w:val="both"/>
      </w:pPr>
      <w:r>
        <w:rPr>
          <w:rFonts w:ascii="Times New Roman" w:cs="Times New Roman" w:eastAsia="Times New Roman" w:hAnsi="Times New Roman"/>
          <w:b/>
          <w:bCs/>
          <w:i/>
          <w:iCs/>
          <w:sz w:val="20"/>
          <w:szCs w:val="20"/>
        </w:rPr>
        <w:t xml:space="preserve">5.2.5 Les cas d’utilisation techniques, issus des besoins non fonctionnels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remarque de méthode s’impose. Cinq besoins fonctionnels — l’authentification, les habilitations, la journalisation, le paramétrage et le travail hors connexion — donnent naissance à des cas d’utilisation techniques. Ils sont fonctionnels par leur formulation, parce qu’un acteur les déclenche, mais ils servent des exigences de sécurité, de traçabilité et de continuité. C’est ce qui explique qu’un cas technique puisse porter une priorité haute : sans authentification, aucun acte de soin n’est possible.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Cinq besoins fonctionnels — l’authentification, les habilitations, la journalisation, le paramétrage et le travail hors connexion — donnent pourtant naissance à des cas techniques : fonctionnels par leur formulation, puisqu’un acteur les déclenche, ils servent des exigences de sécurité, de traçabilité et de continuité. D’où la priorité haute de certains cas techniques : sans authentification, aucun acte de soin n’est possible.</w:t>
      </w:r>
    </w:p>
    <w:p>
      <w:pPr>
        <w:spacing w:after="120" w:line="300"/>
        <w:jc w:val="both"/>
      </w:pPr>
      <w:r>
        <w:rPr>
          <w:rFonts w:ascii="Times New Roman" w:cs="Times New Roman" w:eastAsia="Times New Roman" w:hAnsi="Times New Roman"/>
          <w:b/>
          <w:bCs/>
          <w:i/>
          <w:iCs/>
          <w:sz w:val="20"/>
          <w:szCs w:val="20"/>
        </w:rPr>
        <w:t xml:space="preserve">5.2.6 Classification par package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 package regroupe des éléments de modèle en un ensemble cohérent. Les douze modules identifiés plus haut se regroupent en cinq packages, chacun correspondant à un domaine de responsabilité distinct. Ce découpage gouverne la suite de notre mémoire : il commande les diagrammes de cas d’utilisation présentés ci-après, et les diagrammes de classes du chapitre 7.</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 package regroupe des éléments de modèle en un ensemble cohérent. Les douze modules se regroupent en cinq packages, chacun correspondant à un domaine de responsabilité. Ce découpage commande les diagrammes de cas d’utilisation qui suivent et les diagrammes de classes du chapitre 7.</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précision de méthode s’impose sur la colonne du risque. Elle n’est pas une estimation faite avant le développement, mais un constat établi après coup, à partir des difficultés effectivement rencontrées et documentées au chapitre 7. Un cas est marqué à risque élevé lorsqu’il a exigé une reprise de conception, lorsqu’il porte une règle métier que le système doit garantir seul, ou lorsqu’un incident daté l’a mis en défaut. La colonne de l’itération indique le rang dans lequel le module correspondant a été construit.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colonne du risque n’est pas une estimation faite avant le développement, mais un constat établi après coup, à partir des difficultés rencontrées et documentées au chapitre 7. Un cas est à risque élevé s’il a exigé une reprise de conception, s’il porte une règle métier que le système doit garantir seul, ou si un incident daté l’a mis en défaut. La colonne de l’itération indique le rang dans lequel le module correspondant a été construit.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enseignements se lisent dans ces tableaux. Le risque n’est pas là où le volume est : le package Parcours de soin concentre vingt cas d’utilisation mais quatre seulement sont à risque élevé, alors que le package Sécurité et habilitations en compte quatre sur seize. Les difficultés se sont concentrées sur ce qui garantit les droits, non sur ce qui enregistre les actes.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Ces tableaux montrent que le risque n’est pas là où est le volume : le package Parcours de soin compte vingt cas mais quatre seulement à risque élevé, autant que le package Sécurité et habilitations sur seize. Les difficultés se sont concentrées sur ce qui garantit les droits, non sur ce qui enregistre les actes.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cinq diagrammes suivants représentent chaque package. Nous les avons préférés à un diagramme unique : soixante-cinq cas d’utilisation sur une seule planche seraient illisibles au format A4, et la lisibilité d’un diagramme conditionne son utilité.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cinq diagrammes suivants représentent chaque package : soixante-cinq cas d’utilisation sur une seule planche seraient illisibles au format A4.</w:t>
      </w:r>
    </w:p>
    <w:p>
      <w:pPr>
        <w:spacing w:after="120" w:line="300"/>
        <w:jc w:val="both"/>
      </w:pPr>
      <w:r>
        <w:rPr>
          <w:rFonts w:ascii="Times New Roman" w:cs="Times New Roman" w:eastAsia="Times New Roman" w:hAnsi="Times New Roman"/>
          <w:b/>
          <w:bCs/>
          <w:i/>
          <w:iCs/>
          <w:sz w:val="20"/>
          <w:szCs w:val="20"/>
        </w:rPr>
        <w:t xml:space="preserve">5.2.7 Relations entre cas d’utilisation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ne présentons ici que les relations imposées par le code. Nous n’en avons ajouté aucune pour enrichir le diagramme. Une relation d’inclusion qui ne correspondrait à aucun appel réel serait une décoration, non une modélisation. Une relation d’inclusion exprime une obligation : le cas de base ne peut pas s’exécuter sans que le cas inclus s’exécute aussi.</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ne présentons ici que les relations imposées par le code : une relation qui ne correspondrait à aucun appel réel serait une décoration, non une modélisation. Une relation d’inclusion exprime une obligation : le cas de base ne peut pas s’exécuter sans que le cas inclus s’exécute aussi.</w:t>
      </w:r>
    </w:p>
    <w:p>
      <w:pPr>
        <w:spacing w:after="120" w:line="300"/>
        <w:jc w:val="both"/>
      </w:pPr>
      <w:r>
        <w:rPr>
          <w:rFonts w:ascii="Times New Roman" w:cs="Times New Roman" w:eastAsia="Times New Roman" w:hAnsi="Times New Roman"/>
          <w:b/>
          <w:bCs/>
          <w:i/>
          <w:iCs/>
          <w:sz w:val="20"/>
          <w:szCs w:val="20"/>
        </w:rPr>
        <w:t xml:space="preserve">5.3.2 UC43 — Émettre un bon de pharmacie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remarque d’analyse s’impose. Il faut distinguer soigneusement l’ordonnance du bon. L’ordonnance n’est restreinte par aucune catégorie : tout patient peut en recevoir une. Le bon l’est, car il matérialise une prise en charge financière par l’employeur. Confondre les deux reviendrait à décrire un système qui refuse de soigner, alors qu’il refuse seulement de prendre en charge.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Comme établi au § 2.5, le refus porte sur le bon, jamais sur l’ordonnance : le système ne refuse pas de soigner, il refuse seulement de prendre en charge.</w:t>
      </w:r>
    </w:p>
    <w:p>
      <w:pPr>
        <w:spacing w:after="120" w:line="300"/>
        <w:jc w:val="both"/>
      </w:pPr>
      <w:r>
        <w:rPr>
          <w:rFonts w:ascii="Times New Roman" w:cs="Times New Roman" w:eastAsia="Times New Roman" w:hAnsi="Times New Roman"/>
          <w:b/>
          <w:bCs/>
          <w:i/>
          <w:iCs/>
          <w:sz w:val="20"/>
          <w:szCs w:val="20"/>
        </w:rPr>
        <w:t xml:space="preserve">5.4 Diagrammes de séquence système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produisons deux diagrammes de séquence système. Le plan de rédaction de l’école en autorise trois au maximum. Ils présentent le système en boîte noire : seuls les échanges entre l’acteur et le système y sont visibles. Le premier retient l’émission d’un bon de pharmacie, qui porte la règle métier centrale avec un cas de refus explicite.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produisons deux diagrammes de séquence système, le plan de rédaction de l’école en autorisant trois au plus. Ils présentent le système en boîte noire : seuls les échanges entre l’acteur et le système y sont visibles. Le premier retient l’émission d’un bon de pharmacie, qui porte la règle métier centrale avec un cas de refus explicite.</w:t>
      </w:r>
    </w:p>
    <w:p>
      <w:pPr>
        <w:spacing w:after="120" w:line="300"/>
        <w:jc w:val="both"/>
      </w:pPr>
      <w:r>
        <w:rPr>
          <w:rFonts w:ascii="Times New Roman" w:cs="Times New Roman" w:eastAsia="Times New Roman" w:hAnsi="Times New Roman"/>
          <w:b/>
          <w:bCs/>
          <w:i/>
          <w:iCs/>
          <w:sz w:val="20"/>
          <w:szCs w:val="20"/>
        </w:rPr>
        <w:t xml:space="preserve">Conclusion du chapitre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Notre analyse a établi vingt-trois besoins fonctionnels et treize besoins non fonctionnels, tous rattachés à une preuve dans le système réalisé. Elle a identifié trois acteurs primaires et trois acteurs secondaires. Elle a recensé soixante-cinq cas d’utilisation répartis en douze modules, dont trente-sept de priorité haute, et a spécifié en détail les plus structurants. La confrontation des besoins exprimés aux exigences retenues a produit un résultat qu’il faut souligner. Aucun besoin n’est resté non couvert à l’intérieur du périmètre : les huit besoins sans réponse relèvent tous de domaines explicitement écartés.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Notre analyse a établi vingt-trois besoins fonctionnels et treize besoins non fonctionnels, tous rattachés à une preuve dans le système réalisé, trois acteurs primaires et trois acteurs secondaires, et soixante-cinq cas d’utilisation répartis en douze modules, dont trente-sept de priorité haute ; les plus structurants sont spécifiés en détail. Aucun besoin n’est resté non couvert à l’intérieur du périmètre : les huit besoins sans réponse relèvent tous de domaines explicitement écartés.</w:t>
      </w:r>
    </w:p>
    <w:p>
      <w:pPr>
        <w:pStyle w:val="Heading2"/>
        <w:spacing w:after="120" w:before="240"/>
      </w:pPr>
      <w:r>
        <w:rPr>
          <w:rFonts w:ascii="Times New Roman" w:cs="Times New Roman" w:eastAsia="Times New Roman" w:hAnsi="Times New Roman"/>
          <w:b/>
          <w:bCs/>
          <w:sz w:val="24"/>
          <w:szCs w:val="24"/>
        </w:rPr>
        <w:t xml:space="preserve">CHAPITRE 6 — ARCHITECTURE TECHNIQUE DU SYSTÈME</w:t>
      </w:r>
    </w:p>
    <w:p>
      <w:pPr>
        <w:spacing w:after="120" w:line="300"/>
        <w:jc w:val="both"/>
      </w:pPr>
      <w:r>
        <w:rPr>
          <w:rFonts w:ascii="Times New Roman" w:cs="Times New Roman" w:eastAsia="Times New Roman" w:hAnsi="Times New Roman"/>
          <w:b/>
          <w:bCs/>
          <w:i/>
          <w:iCs/>
          <w:sz w:val="20"/>
          <w:szCs w:val="20"/>
        </w:rPr>
        <w:t xml:space="preserve">6.1 L’architecture applicative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6.1 L’architecture applicative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6.2 L’architecture applicative</w:t>
      </w:r>
    </w:p>
    <w:p>
      <w:pPr>
        <w:spacing w:after="120" w:line="300"/>
        <w:jc w:val="both"/>
      </w:pPr>
      <w:r>
        <w:rPr>
          <w:rFonts w:ascii="Times New Roman" w:cs="Times New Roman" w:eastAsia="Times New Roman" w:hAnsi="Times New Roman"/>
          <w:b/>
          <w:bCs/>
          <w:i/>
          <w:iCs/>
          <w:sz w:val="20"/>
          <w:szCs w:val="20"/>
        </w:rPr>
        <w:t xml:space="preserve">6.2 L’architecture de sécurité</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6.2 L’architecture de sécurité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6.3 L’architecture de sécurité</w:t>
      </w:r>
    </w:p>
    <w:p>
      <w:pPr>
        <w:spacing w:after="120" w:line="300"/>
        <w:jc w:val="both"/>
      </w:pPr>
      <w:r>
        <w:rPr>
          <w:rFonts w:ascii="Times New Roman" w:cs="Times New Roman" w:eastAsia="Times New Roman" w:hAnsi="Times New Roman"/>
          <w:b/>
          <w:bCs/>
          <w:i/>
          <w:iCs/>
          <w:sz w:val="20"/>
          <w:szCs w:val="20"/>
        </w:rPr>
        <w:t xml:space="preserve">6.3 Le moteur de synchronisation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6.3 Le moteur de synchronisation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6.4 Le moteur de synchronisation</w:t>
      </w:r>
    </w:p>
    <w:p>
      <w:pPr>
        <w:pStyle w:val="Heading2"/>
        <w:spacing w:after="120" w:before="240"/>
      </w:pPr>
      <w:r>
        <w:rPr>
          <w:rFonts w:ascii="Times New Roman" w:cs="Times New Roman" w:eastAsia="Times New Roman" w:hAnsi="Times New Roman"/>
          <w:b/>
          <w:bCs/>
          <w:sz w:val="24"/>
          <w:szCs w:val="24"/>
        </w:rPr>
        <w:t xml:space="preserve">CHAPITRE 7 — CONCEPTION DÉTAILLÉE ET IMPLÉMENTATION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 chapitre est le point de convergence des deux branches de 2TUP. Le modèle du métier établi au chapitre 5 y est projeté sur l’architecture technique du chapitre 6 : les entités du domaine deviennent des classes, les cas d’utilisation des écrans et des services, les règles métier des contrôles. Nous rendons ensuite compte de la réalisation effective — environnement de développement, base de données, fonctionnalités livrées, état réel de la validation — et des difficultés rencontrées. Le périmètre implémenté couvre les vingt-trois besoins fonctionnels identifiés au chapitre 5. Un seul reste partiel : le fonctionnement hors connexion du poste autonome. Sa chaîne de production est vérifiée, mais elle n’a pas été validée par une exécution complète sur machine cible.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chapitre est le point de convergence des deux branches de 2TUP : le modèle du métier du chapitre 5 y est projeté sur l’architecture du chapitre 6. Il rend ensuite compte de la réalisation effective — environnement, base de données, fonctionnalités livrées, état réel de la validation — et des difficultés rencontrées.</w:t>
      </w:r>
    </w:p>
    <w:p>
      <w:pPr>
        <w:spacing w:after="120" w:line="300"/>
        <w:jc w:val="both"/>
      </w:pPr>
      <w:r>
        <w:rPr>
          <w:rFonts w:ascii="Times New Roman" w:cs="Times New Roman" w:eastAsia="Times New Roman" w:hAnsi="Times New Roman"/>
          <w:b/>
          <w:bCs/>
          <w:i/>
          <w:iCs/>
          <w:sz w:val="20"/>
          <w:szCs w:val="20"/>
        </w:rPr>
        <w:t xml:space="preserve">7.1 Le modèle de classes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modèle complet comporte 88 entités reliées par 97 associations. Une planche représentant l’ensemble serait illisible imprimée au format A4. Nous retenons donc 29 classes au diagramme. Deux critères ont guidé cette sélection : un degré de connexion supérieur ou égal à deux dans les domaines clinique, acteurs et référentiels, plus deux exceptions justifiées par leur poids métier, les constantes vitales et la matrice des droits par catégorie. Nous devons énoncer ce critère, sans quoi la sélection paraîtrait arbitraire.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modèle complet comporte 88 entités reliées par 97 associations ; une planche les représentant toutes serait illisible au format A4. Nous retenons donc 29 classes au diagramme, selon un critère explicite : un degré de connexion supérieur ou égal à deux dans les domaines clinique, acteurs et référentiels, plus deux exceptions justifiées par leur poids métier, les constantes vitales et la matrice des droits par catégorie.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59 entités écartées se répartissent ainsi : 13 pour la sécurité et l’audit, 11 autour du dossier patient, 8 pour la synchronisation, 7 pour la messagerie, 7 pour le personnel, 7 pour les suivis de soin et 6 référentiels secondaires. Vingt-huit relèvent de fonctions techniques ou transverses : sécurité et audit, synchronisation, messagerie. Les autres ajoutent du détail à une entité déjà présente sur la planche, sans en changer la structure. Elles ne disparaissent pas du mémoire pour autant : le Tableau 7.6, plus loin dans ce chapitre, donne la répartition complète des 88 tables par domaine fonctionnel.</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59 entités écartées se répartissent ainsi : 13 pour la sécurité et l’audit, 11 autour du dossier patient, 8 pour la synchronisation, 7 pour la messagerie, 7 pour le personnel, 7 pour les suivis de soin et 6 référentiels secondaires. Vingt-huit relèvent de fonctions techniques ou transverses : sécurité et audit, synchronisation, messagerie. Les autres ajoutent du détail à une entité déjà présente sur la planche, sans en changer la structure. Toutes figurent au Tableau 7.6, qui répartit les 88 tables par domaine fonctionnel.</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package Fonctions transverses ne retient aucune classe, et ce fait mérite d’être expliqué plutôt que constaté. La messagerie, les notifications, le pilotage et la synchronisation reposent sur des entités bien réelles — elles font partie des 59 écartées — mais aucune ne participe au modèle du domaine médical. Les faire figurer aurait chargé la planche sans rien apprendre sur le métier du centre.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package Fonctions transverses ne retient aucune classe. La messagerie, les notifications, le pilotage et la synchronisation reposent sur des entités bien réelles — elles font partie des 59 écartées —, mais aucune ne participe au modèle du domaine médical : les faire figurer aurait chargé la planche sans rien apprendre sur le métier du centre.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packages ne sont pas étanches, et la manière dont ils se tiennent mérite d’être énoncée. Le package Sécurité n’atteint le domaine médical que par deux liens : un compte utilisateur appartient à un site, et il correspond au plus à une fiche de personnel soignant. Il ne connaît ni patient ni consultation. Les référentiels alimentent tout le reste : le site enregistre le patient et accueille la visite, la catégorie classe le dossier, le soignant conduit la consultation, la délégation autorise cette consultation et couvre l’ordonnance qui en découle, la pathologie de référence nomme le diagnostic ; le médicament de référence et le type d’examen désignent enfin le produit ou l’acte porté par chaque ligne d’ordonnance, de bon de pharmacie et de bon d’examen. Le dossier patient et le parcours de soin ne se rejoignent qu’en un seul point : le patient ouvre la visite.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packages ne sont pas étanches. Le package Sécurité n’atteint le domaine médical que par deux liens : un compte utilisateur appartient à un site, et correspond au plus à une fiche de personnel soignant ; il ne connaît ni patient ni consultation. Les référentiels alimentent tout le reste : le site enregistre le patient et accueille la visite, la catégorie classe le dossier, le soignant conduit la consultation, la délégation autorise cette consultation et couvre l’ordonnance qui en découle, la pathologie de référence nomme le diagnostic ; le médicament de référence et le type d’examen désignent enfin le produit ou l’acte porté par chaque ligne d’ordonnance, de bon de pharmacie et de bon d’examen. Le dossier patient et le parcours de soin ne se rejoignent qu’en un seul point : le patient ouvre la visite.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cinq planches suivantes représentent chaque package — le package Parcours de soin en demande deux, sa densité l’imposant — et la sixième réunit l’ensemble. Nous allons du détail vers la vue générale. Cette progression du détail vers la vue générale permet de lire le modèle par domaine avant de le lire en entier.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cinq planches suivantes représentent chaque package — le Parcours de soin en demande deux, du fait de sa densité — et la sixième réunit l’ensemble : le modèle se lit par domaine avant de se lire en entier.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hiérarchie se mesure au nombre d’associations. Le modèle s’organise autour de trois pivots : la personne soignée, l’acte de soin, et l’agent qui le réalise. Trois choix de modélisation méritent d’être explicités. Le dossier patient est éclaté en entités satellites — identité, contacts d’urgence, données d’emploi, mode de vie — plutôt que réuni dans une table unique. Cela permet d’appliquer des droits différents à la partie administrative et à la partie médicale. Le dossier patient se lit alors en trois liens. Il porte une identité, qui n’existe pas sans lui. Il correspond à un employé lorsque le patient est lui-même assuré, identifié par son matricule. Un rattachement distinct le concerne enfin lorsqu’il est ayant droit d’un assuré, avec le type de lien familial, ou salarié d’une société sous-traitante.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Cette hiérarchie se mesure au nombre d’associations : le modèle s’organise autour de trois pivots, la personne soignée, l’acte de soin et l’agent qui le réalise. Trois choix de modélisation méritent d’être explicités. Le dossier patient est éclaté en entités satellites — identité, contacts d’urgence, données d’emploi, mode de vie — plutôt que réuni dans une table unique, ce qui permet d’appliquer des droits différents à la partie administrative et à la partie médicale. Il se lit en trois liens : il porte une identité, qui n’existe pas sans lui ; il correspond à un employé quand le patient est lui-même assuré, identifié par son matricule ; un rattachement distinct le concerne enfin quand il est ayant droit d’un assuré, avec le type de lien familial, ou salarié d’une société sous-traitante.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documents cliniques sont rattachés à la consultation, et non au patient. Aucun document ne peut donc exister sans acte de soin qui le justifie. Les rattachements sont enfin historisés. Un lien qui change ne s’écrase pas : il se termine, et un nouveau commence. C’est indispensable pour justifier a posteriori qu’un bon avait bien été émis à une date où le patient y avait droit.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documents cliniques sont rattachés à la consultation, et non au patient : aucun document ne peut exister sans acte de soin qui le justifie. Les rattachements sont enfin historisés : un lien qui change ne s’écrase pas, il se termine et un nouveau commence. C’est indispensable pour justifier a posteriori qu’un bon a été émis à une date où le patient y avait droit.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Neuf entités possèdent un cycle de vie contraint. Les recenser est indispensable, car ce sont ces contraintes qui empêchent le système d’entrer dans un état incohérent.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Neuf entités possèdent un cycle de vie contraint : ce sont ces contraintes qui empêchent le système d’entrer dans un état incohérent.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Trois observations en découlent. Les états terminaux sont irréversibles. Une consultation clôturée, un bon délivré, une évacuation close ne reviennent jamais en arrière. Un acte clinique enregistré ne se défait pas : il s’annule avec un motif. Le motif d’annulation est d’ailleurs systématiquement obligatoire. Une annulation sans justification constitue une perte d’information.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Trois observations en découlent. Les états terminaux sont irréversibles : une consultation clôturée, un bon délivré, une évacuation close ne reviennent jamais en arrière. Un acte clinique enregistré ne se défait pas : il s’annule, avec un motif toujours obligatoire, car une annulation sans justification est une perte d’information.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Quatre machines sur neuf seulement sont enfin garanties par la base de données. Les cinq autres reposent sur de simples champs texte, contraints par le code applicatif : une écriture directe en base pourrait y poser une valeur invalide. C’est une faiblesse réelle, née d’un compromis de portabilité entre les deux moteurs. Elle est sans conséquence tant que toutes les écritures passent par l’application, mais elle est signalée ici plutôt que passée sous silence. Quarante-sept entités sur 88 portent enfin une marque de suppression. Une suppression n’efface jamais : elle horodate.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Quatre machines sur neuf seulement sont garanties par la base de données ; les cinq autres reposent sur des champs texte contraints par le code applicatif, faiblesse discutée au § 7.4. Quarante-sept entités sur 88 portent enfin une marque de suppression : une suppression n’efface jamais, elle horodate.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 choix découle directement du fonctionnement hors connexion. Si un dossier supprimé disparaissait de la base centrale, les postes hors ligne qui le détiennent encore n’auraient aucun moyen d’apprendre sa disparition. Ils le réintroduiraient à la synchronisation suivante. La marque de suppression est précisément la donnée qui permet de propager un effacement.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choix découle du fonctionnement hors connexion : si un dossier supprimé disparaissait de la base centrale, les postes hors ligne qui le détiennent encore ne pourraient pas l’apprendre, et le réintroduiraient à la synchronisation suivante. La marque de suppression est précisément la donnée qui propage un effacement.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processus central du système reste le parcours de soin, décrit au chapitre 4 dans sa version antérieure au projet. Le système le reprend à l’identique, aux contrôles automatiques près. Ces contrôles sont au nombre de trois : vérifier que le patient est actif et qu’aucune visite n’est déjà ouverte, contrôler le droit de prescrire avant toute ordonnance, et contrôler l’éligibilité de la catégorie au moment d’émettre un bon.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système reprend à l’identique le parcours de soin décrit au chapitre 4, en y ajoutant trois contrôles automatiques : vérifier que le patient est actif et qu’aucune visite n’est déjà ouverte, contrôler le droit de prescrire avant toute ordonnance, et contrôler l’éligibilité de la catégorie au moment d’émettre un bon.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cas illustrent particulièrement cette chaîne. L’émission d’un bon de pharmacie fait apparaître les deux étages de contrôle. La garde de permission valide que l’agent a le droit d’émettre un bon. Puis le service interroge la matrice des droits pour déterminer si ce patient précis y ouvre droit. La synchronisation d’un poste local est le seul cas dont l’acteur est un système, et le seul à comporter une résolution de conflit.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L’émission d’un bon de pharmacie fait apparaître les deux étages de contrôle : la garde de permission vérifie que l’agent a le droit d’émettre un bon, puis le service interroge la matrice des droits pour savoir si ce patient y ouvre droit.</w:t>
      </w:r>
    </w:p>
    <w:p>
      <w:pPr>
        <w:spacing w:after="120" w:line="300"/>
        <w:jc w:val="both"/>
      </w:pPr>
      <w:r>
        <w:rPr>
          <w:rFonts w:ascii="Times New Roman" w:cs="Times New Roman" w:eastAsia="Times New Roman" w:hAnsi="Times New Roman"/>
          <w:b/>
          <w:bCs/>
          <w:i/>
          <w:iCs/>
          <w:sz w:val="20"/>
          <w:szCs w:val="20"/>
        </w:rPr>
        <w:t xml:space="preserve">7.2 Composants, déploiement et interfaces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L’architecture en composants distingue sept blocs. Le serveur applicatif NestJS expose les 273 routes HTTP et le flux SSE. Il requiert l’accès aux données et le service de géolocalisation. L’interface web React ne fournit rien : elle consomme l’interface distante. Le client de bureau Electron fournit la fenêtre applicative, le coffre de secrets et la mise à jour. Ses deux processus communiquent par un canal IPC restreint. C’est la seule voie ouverte entre l’interface et le poste. Il consomme soit l’interface distante, soit son serveur embarqué. Ce dernier fournit une interface locale restreinte à la boucle locale, et consomme la base SQLite.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L’architecture en composants distingue sept blocs. Le serveur applicatif NestJS expose les 273 routes HTTP et le flux SSE ; il requiert l’accès aux données et le service de géolocalisation, qui situe chaque connexion dans le journal d’authentification. L’interface web React consomme l’interface distante sans rien fournir. Le client de bureau Electron fournit la fenêtre applicative, le coffre de secrets et la mise à jour ; ses deux processus communiquent par un canal IPC restreint, seule voie ouverte entre l’interface et le poste. Il consomme soit l’interface distante, soit son serveur embarqué, qui fournit une interface limitée à la boucle locale et consomme la base SQLite.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déploiement distingue quatre nœuds : un serveur d’application exposé en HTTPS, un serveur PostgreSQL hébergé séparément avec liaison chiffrée, des postes clients en mode connecté, et des postes clients en mode autonome embarquant serveur et base SQLite locale. Trois points de sécurité conditionnent ce déploiement. Le serveur embarqué du poste autonome n’écoute que sur la boucle locale. Aucune autre machine du réseau ne peut donc l’interroger. L’adresse du serveur doit être chiffrée en production. Sans cela, jetons d’authentification et données patient transiteraient en clair.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déploiement distingue quatre nœuds : un serveur d’application exposé en HTTPS, un serveur PostgreSQL hébergé séparément avec liaison chiffrée, des postes clients en mode connecté, et des postes clients en mode autonome embarquant serveur et base SQLite locale. Trois points de sécurité le conditionnent. Le serveur embarqué du poste autonome n’écoute que sur la boucle locale : aucune autre machine du réseau ne peut l’interroger. L’adresse du serveur doit être chiffrée en production, sans quoi jetons d’authentification et données patient transiteraient en clair.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devons signaler une faiblesse sur ce volet. Les permissions qui gouvernent l’affichage du menu et celles qui gardent les routes du serveur sont déclarées à deux endroits distincts. Une divergence produit donc une entrée de menu visible qui mène à un refus. Le code documente lui-même un incident de ce type, corrigé depuis. Mais la double déclaration demeure, et constitue une dette technique.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volet a une faiblesse : les permissions qui gouvernent l’affichage du menu et celles qui gardent les routes du serveur sont déclarées à deux endroits distincts. Une divergence produit une entrée de menu visible qui mène à un refus ; le code documente un incident de ce type, corrigé depuis, mais la double déclaration demeure et constitue une dette technique.</w:t>
      </w:r>
    </w:p>
    <w:p>
      <w:pPr>
        <w:spacing w:after="120" w:line="300"/>
        <w:jc w:val="both"/>
      </w:pPr>
      <w:r>
        <w:rPr>
          <w:rFonts w:ascii="Times New Roman" w:cs="Times New Roman" w:eastAsia="Times New Roman" w:hAnsi="Times New Roman"/>
          <w:b/>
          <w:bCs/>
          <w:i/>
          <w:iCs/>
          <w:sz w:val="20"/>
          <w:szCs w:val="20"/>
        </w:rPr>
        <w:t xml:space="preserve">7.3 Environnement de développement et de déploiement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L’architecture que nous avons retenue est client-serveur à trois couches. Elle se décline en deux implantations : un serveur central hébergé, et des postes autonomes qui embarquent leur propre serveur NestJS. Les échanges se font en HTTPS, imposé en production, et transportent des données au format JSON. L’authentification repose sur un jeton JWT signé, accompagné d’un jeton de renouvellement, les mots de passe étant hachés avec bcrypt. Elle est complétée par une authentification à deux facteurs (2FA) fondée sur un code temporel (TOTP), produit et vérifié par otplib. Le temps réel repose enfin sur un flux SSE qui va du serveur vers le client, dans un seul sens.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L’architecture elle-même est décrite au chapitre 6. Les échanges se font en HTTPS, imposé en production, au format JSON. L’authentification repose sur un jeton JWT signé, doublé d’un jeton de renouvellement ; les mots de passe sont hachés avec bcrypt, et une authentification à deux facteurs (2FA) par code temporel (TOTP) complète l’accès. Le tableau suivant présente les outils employés.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contrainte majeure reste le fonctionnement sur deux sites, avec continuité hors connexion.</w:t>
      </w:r>
    </w:p>
    <w:p>
      <w:pPr>
        <w:shd w:fill="E2EFDA" w:color="auto" w:val="clear"/>
        <w:spacing w:after="80" w:line="280"/>
        <w:jc w:val="both"/>
      </w:pPr>
      <w:r>
        <w:rPr>
          <w:rFonts w:ascii="Times New Roman" w:cs="Times New Roman" w:eastAsia="Times New Roman" w:hAnsi="Times New Roman"/>
          <w:b/>
          <w:bCs/>
          <w:sz w:val="20"/>
          <w:szCs w:val="20"/>
        </w:rPr>
        <w:t xml:space="preserve">Après : paragraphe supprimé </w:t>
      </w:r>
      <w:r>
        <w:rPr>
          <w:rFonts w:ascii="Times New Roman" w:cs="Times New Roman" w:eastAsia="Times New Roman" w:hAnsi="Times New Roman"/>
          <w:sz w:val="20"/>
          <w:szCs w:val="20"/>
        </w:rPr>
        <w:t xml:space="preserve">(son contenu est déjà dit juste après)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Côté matériel, nous avons conduit le développement sur un poste Windows 10 Professionnel. Le serveur d’application et le site web sont hébergés sur Render, en région Europe, et la base PostgreSQL est hébergée séparément sur Neon. L’inventaire quantifié des postes clients du centre et de son infrastructure réseau n’a pas pu être établi, comme indiqué au chapitre 4. Cette lacune devra être comblée avant tout déploiement réel. Il faudra notamment vérifier que les postes destinés au mode autonome disposent de l’espace disque nécessaire.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conduit le développement sur un poste Windows 10 Professionnel. Le serveur d’application et le site web sont hébergés sur Render, en région Europe, et la base PostgreSQL séparément sur Neon. L’inventaire du parc et du réseau du centre reste à établir avant tout déploiement réel (§ 4.1 et § 4.5).</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contrainte du plan d’hébergement mérite enfin d’être signalée. L’offre gratuite de Render met le serveur en veille après quinze minutes d’inactivité. La première requête après une période creuse subit donc un délai de réveil. C’est une contrainte assumée d’un environnement de démonstration.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L’offre gratuite de Render met enfin le serveur en veille après quinze minutes d’inactivité : la première requête après une période creuse subit un délai de réveil, contrainte assumée d’un environnement de démonstration.</w:t>
      </w:r>
    </w:p>
    <w:p>
      <w:pPr>
        <w:spacing w:after="120" w:line="300"/>
        <w:jc w:val="both"/>
      </w:pPr>
      <w:r>
        <w:rPr>
          <w:rFonts w:ascii="Times New Roman" w:cs="Times New Roman" w:eastAsia="Times New Roman" w:hAnsi="Times New Roman"/>
          <w:b/>
          <w:bCs/>
          <w:i/>
          <w:iCs/>
          <w:sz w:val="20"/>
          <w:szCs w:val="20"/>
        </w:rPr>
        <w:t xml:space="preserve">7.4 Modélisation et implémentation de la base de données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modèle conceptuel ne reprend pas les vingt-neuf classes présentées plus haut, mais les douze qui forment le noyau métier. Le critère retenu est le suivant : une entité du noyau naît d’un acte de soin et disparaît avec le dossier. Une visite, une consultation, une ordonnance n’existent que parce qu’un patient s’est présenté au centre. Les dix-sept autres classes ne sont pas de cette nature. Huit sont des référentiels — sites, catégories de patients, médicaments, pathologies, types d’examen — saisis avant l’exploitation et stables ensuite. Cinq portent les habilitations, c’est-à-dire qui a le droit de faire quoi. Quatre portent l’identité administrative du patient et l’ouverture de ses droits. Toutes sont déjà modélisées aux figures 7.1, 7.2 et 7.3. Seule l’entité Patient est reprise ici, parce qu’elle est la racine à laquelle tout se rattache. Conformément à la méthode MERISE, aucune clé étrangère ne figure dans le modèle conceptuel : les liens y sont portés par les associations, et ne deviennent des colonnes qu’au passage au modèle physique. Le noyau est présenté en trois planches, une par étape du parcours : le recueil, la décision médicale, la prescription.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modèle conceptuel ne reprend pas les vingt-neuf classes, mais les douze qui forment le noyau métier : une entité du noyau naît d’un acte de soin et disparaît avec le dossier. Une visite, une consultation, une ordonnance n’existent que parce qu’un patient s’est présenté au centre. Les dix-sept autres classes sont d’une autre nature : huit référentiels — sites, catégories de patients, médicaments, pathologies, types d’examen — saisis avant l’exploitation et stables ensuite ; cinq classes d’habilitations, qui disent qui a le droit de faire quoi ; quatre classes portant l’identité administrative du patient et l’ouverture de ses droits. Toutes sont modélisées aux figures 7.1, 7.2 et 7.3 ; seule l’entité Patient est reprise ici, parce qu’elle est la racine à laquelle tout se rattache. Conformément à la méthode MERISE, aucune clé étrangère ne figure dans le modèle conceptuel : les liens y sont portés par les associations, et ne deviennent des colonnes qu’au passage au modèle physique. Le noyau est présenté en trois planches, une par étape du parcours : le recueil, la décision médicale, la prescription.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modèle physique est produit et maintenu par 40 migrations Prisma versionnées. Elles sont appliquées à chaque déploiement, et une réapplication reste sans effet. Chaque migration est un fichier horodaté conservé dans le dépôt Git : l’historique complet de l’évolution du schéma reste donc traçable. Le schéma de la base SQLite du poste autonome est dérivé automatiquement de celui de la base PostgreSQL centrale. Cela garantit que les deux cibles ne divergent pas : les 88 tables sont présentes des deux côtés.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modèle physique est produit et maintenu par 40 migrations Prisma versionnées, appliquées à chaque déploiement ; une réapplication reste sans effet. Chaque migration est un fichier horodaté conservé dans le dépôt Git, ce qui rend traçable toute l’évolution du schéma. Le schéma de la base SQLite du poste autonome est dérivé automatiquement de celui de la base PostgreSQL centrale : les 88 tables sont présentes des deux côtés, et les deux cibles ne peuvent pas diverger.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clés primaires sont des identifiants universels générés. Les contraintes d’unicité sont portées par la base. Un index sur l’horodatage de modification rend possible le calcul des deltas de synchronisation. La base porte six énumérations, dont quatre seulement correspondent à une machine à états : le statut du compte, celui du patient, celui de la visite et celui de la consultation. Les cinq autres machines à états du système reposent sur des champs texte contraints par le code applicatif. C’est un compromis de portabilité entre PostgreSQL et SQLite, ce dernier ne connaissant pas le type énuméré, et il doit être reconnu comme une faiblesse.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clés primaires sont des identifiants universels générés, et les contraintes d’unicité sont portées par la base. Un index sur l’horodatage de modification permet le calcul des deltas de synchronisation. La base porte six énumérations, dont quatre seulement correspondent à une machine à états : le statut du compte, celui du patient, celui de la visite et celui de la consultation. Les cinq autres machines à états reposent sur des champs texte contraints par le code applicatif : une écriture directe en base pourrait y poser une valeur invalide. Ce compromis de portabilité, SQLite ne connaissant pas le type énuméré, est une faiblesse réelle, sans conséquence tant que toutes les écritures passent par l’application.</w:t>
      </w:r>
    </w:p>
    <w:p>
      <w:pPr>
        <w:spacing w:after="120" w:line="300"/>
        <w:jc w:val="both"/>
      </w:pPr>
      <w:r>
        <w:rPr>
          <w:rFonts w:ascii="Times New Roman" w:cs="Times New Roman" w:eastAsia="Times New Roman" w:hAnsi="Times New Roman"/>
          <w:b/>
          <w:bCs/>
          <w:i/>
          <w:iCs/>
          <w:sz w:val="20"/>
          <w:szCs w:val="20"/>
        </w:rPr>
        <w:t xml:space="preserve">7.5 Les fonctionnalités développées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vingt-trois besoins fonctionnels identifiés au chapitre 5 sont réalisés, et leur preuve dans le système figure au Tableau 5.1. Tous sont disponibles sur les trois canaux : application web installable (PWA), API et client de bureau. Il existe deux exceptions. L’impression des documents cliniques ne concerne pas l’API. Et la synchronisation reste partielle côté client de bureau autonome. Quarante-six entités sur les quatre-vingt-huit du schéma sont synchronisées hors connexion.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vingt-trois besoins fonctionnels du chapitre 5 sont réalisés ; leur preuve figure au Tableau 5.1. Tous sont disponibles sur les trois canaux — application web installable (PWA), API et client de bureau —, à deux exceptions près : l’impression des documents cliniques ne concerne pas l’API, et la synchronisation reste partielle côté client de bureau autonome.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réserve porte sur le seul besoin marqué partiel. Le fonctionnement hors connexion du poste autonome est implémenté, et vérifié statiquement : chemins, noms de fichiers et options de production sont cohérents de bout en bout. Mais nous ne l’avons pas validé par une exécution complète sur une machine cible. La distinction est importante : un code vérifié n’est pas un code éprouvé.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 besoin partiel appelle une précision : le fonctionnement hors connexion du poste autonome est implémenté et vérifié statiquement — chemins, noms de fichiers et options de production sont cohérents de bout en bout —, mais il n’a pas été validé par une exécution complète sur une machine cible. Un code vérifié n’est pas un code éprouvé.</w:t>
      </w:r>
    </w:p>
    <w:p>
      <w:pPr>
        <w:spacing w:after="120" w:line="300"/>
        <w:jc w:val="both"/>
      </w:pPr>
      <w:r>
        <w:rPr>
          <w:rFonts w:ascii="Times New Roman" w:cs="Times New Roman" w:eastAsia="Times New Roman" w:hAnsi="Times New Roman"/>
          <w:b/>
          <w:bCs/>
          <w:i/>
          <w:iCs/>
          <w:sz w:val="20"/>
          <w:szCs w:val="20"/>
        </w:rPr>
        <w:t xml:space="preserve">7.6 Tests et validation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Dix fichiers de test regroupent l’ensemble des cas écrits. Cinq suites relèvent de la logique pure et s’exécutent sans dépendance externe. Quatre sont des suites d’intégration : elles exigent un serveur démarré et une base chargée. La dernière vérifie l’amorçage complet de l’application. Un défaut a été corrigé le 10 août 2026. Deux suites n’étaient rattachées à aucune commande et ne s’exécutaient que manuellement. Elles le sont désormais, et les dix suites sur dix sont lançables automatiquement.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Dix fichiers de test regroupent l’ensemble des cas écrits : cinq suites de logique pure, qui s’exécutent sans dépendance externe ; quatre suites d’intégration, qui exigent un serveur démarré et une base chargée ; et une suite qui vérifie l’amorçage complet de l’application. Le 10 août 2026, un défaut a été corrigé : deux suites, rattachées à aucune commande, ne s’exécutaient que manuellement. Les dix suites sont désormais lançables automatiquement.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Cent trois cas ont donc été exécutés avec succès, soit un taux de réussite de 100 %. Les quarante-trois cas restants relèvent des suites d’intégration. Elles exigent un serveur démarré et une base chargée, indisponibles au moment de la rédaction. Le cas du test périmé mérite d’être analysé. Le mécanisme qu’il révèle est plus intéressant que son résultat. Ce test compare les plages physiologiques déclarées côté client à celles déclarées côté serveur. C’est un garde-fou contre la désynchronisation, et son commentaire le dit explicitement : si quelqu’un modifie l’un sans l’autre, le test doit casser.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Cent trois cas ont donc été exécutés avec succès, soit un taux de réussite de 100 %. Les quarante-trois cas restants relèvent des suites d’intégration, qui exigent un serveur démarré et une base chargée, indisponibles au moment de la rédaction. Le test périmé mérite d’être analysé, car le mécanisme qu’il révèle compte plus que son résultat. Il compare les plages physiologiques déclarées côté client à celles déclarées côté serveur. C’est un garde-fou contre la désynchronisation, et son commentaire le dit : si quelqu’un modifie l’un sans l’autre, le test doit casser.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Autrement dit, le client et le serveur étaient alignés. C’est le garde-fou qui avait dérivé. Et il n’avait pu dériver que parce que sa suite n’était rattachée à aucune commande : personne ne l’avait lancée depuis l’ajout de la neuvième constante. C’est la démonstration concrète qu’une suite qu’on n’exécute pas cesse silencieusement de protéger ce qu’elle prétend protéger. La correction a tenu en deux lignes. Nous devons dire aussi ce que ces tests ne couvrent pas. Le tableau qui suit dénombre les cas écrits, exécutés ou non, là où le précédent ne comptait que les cas exécutés : c’est pourquoi la suppression logique y passe de dix à dix-huit.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client et le serveur étaient donc alignés : c’est le garde-fou qui avait dérivé, et il n’avait pu dériver que parce que sa suite n’était rattachée à aucune commande. Personne ne l’avait lancée depuis l’ajout de la neuvième constante. Une suite qu’on n’exécute pas cesse silencieusement de protéger ce qu’elle prétend protéger. La correction a tenu en deux lignes. Reste à dire ce que ces tests ne couvrent pas. Le tableau qui suit dénombre les cas écrits, exécutés ou non, là où le précédent ne comptait que les cas exécutés : c’est pourquoi la suppression logique y passe de dix à dix-huit.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constats doivent être énoncés sans détour. Le cœur clinique n’a aucun test automatisé exécuté. Le triage, la consultation, la prescription, les bons et l’évacuation reposent sur des tests d’intégration qui n’ont pas été lancés. Et la règle d’éligibilité par catégorie n’est couverte par aucun test, alors que ce mémoire la présente partout comme la plus structurante du système. C’est la lacune la plus sérieuse de la validation. Nous la signalons ici plutôt que de la laisser découvrir en soutenance.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Deux constats s’imposent. Le cœur clinique n’a aucun test automatisé exécuté : le triage, la consultation, la prescription, les bons et l’évacuation reposent sur des tests d’intégration qui n’ont pas été lancés. Et la règle d’éligibilité par catégorie n’est couverte par aucun test, alors que ce mémoire la présente partout comme la plus structurante du système. C’est la lacune la plus sérieuse de la validation.</w:t>
      </w:r>
    </w:p>
    <w:p>
      <w:pPr>
        <w:spacing w:after="120" w:line="300"/>
        <w:jc w:val="both"/>
      </w:pPr>
      <w:r>
        <w:rPr>
          <w:rFonts w:ascii="Times New Roman" w:cs="Times New Roman" w:eastAsia="Times New Roman" w:hAnsi="Times New Roman"/>
          <w:b/>
          <w:bCs/>
          <w:i/>
          <w:iCs/>
          <w:sz w:val="20"/>
          <w:szCs w:val="20"/>
        </w:rPr>
        <w:t xml:space="preserve">7.7 Mise en production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décrivons le déploiement dans un fichier de configuration render.yaml, versionné avec le code. Ce fichier définit deux services : l’API NestJS et le site web statique React. La base PostgreSQL est hébergée séparément sur Neon. La séquence de démarrage enchaîne quatre étapes : application des migrations Prisma, synchronisation du catalogue des permissions, garde-fou de création du compte administrateur, puis démarrage du serveur.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décrivons le déploiement dans un fichier de configuration render.yaml, versionné avec le code, qui définit deux services : l’API NestJS et le site web statique React, la base PostgreSQL étant hébergée sur Neon (§ 7.3). La séquence de démarrage enchaîne quatre étapes : application des migrations Prisma, synchronisation du catalogue des permissions, garde-fou de création du compte administrateur, puis démarrage du serveur.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inscrit trois enseignements d’exploitation dans ce fichier. Ils illustrent la différence entre un système qui fonctionne et un système qui s’exploite. La synchronisation des permissions est nécessaire, mais elle ne doit pas bloquer le démarrage. Le catalogue vit dans le code, tandis que les gardes lisent la base. Une permission ajoutée au code serait donc déployée sans exister en base, et les rôles perdraient silencieusement les accès correspondants.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inscrit dans ce fichier trois enseignements d’exploitation, qui séparent un système qui fonctionne d’un système qui s’exploite. La synchronisation des permissions est nécessaire, mais ne doit pas bloquer le démarrage : le catalogue vit dans le code, les gardes lisent la base, et une permission ajoutée au code serait sinon déployée sans exister en base, les rôles perdant silencieusement les accès correspondants.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 garde-fou permanent protège ensuite l’accès administrateur. Une base sans compte administrateur ne peut plus être débloquée depuis l’interface, puisqu’il faut être connecté pour créer un compte. Une opération destructrice n’a enfin pas sa place dans une commande de démarrage. Nous y avions greffé un script de remise à zéro, retiré aussitôt : rattaché au démarrage, il se rejouait à chaque redémarrage et effaçait tout ce qui avait été saisi entre-temps.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 garde-fou permanent protège ensuite l’accès administrateur : une base sans compte administrateur ne pourrait plus être débloquée depuis l’interface, puisqu’il faut être connecté pour créer un compte. Enfin, une opération destructrice n’a pas sa place dans une commande de démarrage : nous y avions greffé un script de remise à zéro qui, rejoué à chaque redémarrage, effaçait tout ce qui avait été saisi entre-temps ; nous l’avons retiré aussitôt.</w:t>
      </w:r>
    </w:p>
    <w:p>
      <w:pPr>
        <w:spacing w:after="120" w:line="300"/>
        <w:jc w:val="both"/>
      </w:pPr>
      <w:r>
        <w:rPr>
          <w:rFonts w:ascii="Times New Roman" w:cs="Times New Roman" w:eastAsia="Times New Roman" w:hAnsi="Times New Roman"/>
          <w:b/>
          <w:bCs/>
          <w:i/>
          <w:iCs/>
          <w:sz w:val="20"/>
          <w:szCs w:val="20"/>
        </w:rPr>
        <w:t xml:space="preserve">7.8 Difficultés rencontrées et solutions apportées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rencontré six difficultés significatives. Toutes sont documentées dans le code lui-même, ce qui permet de les rapporter sans reconstruction a posteriori. La première est que le mode hors connexion ne fonctionnait pas. En mode autonome, le poste dialogue avec le serveur central lorsqu’il est en ligne, et avec son serveur embarqué lorsqu’il ne l’est plus. Or ce sont deux autorités d’authentification distinctes, qui signent chacune avec son propre secret. La bascule ne changeait initialement que l’adresse du serveur. Le jeton émis par le central partait donc vers le serveur local, qui le refusait.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rencontré six difficultés significatives, toutes documentées dans le code lui-même, ce qui permet de les rapporter sans reconstruction a posteriori. La première : le mode hors connexion ne fonctionnait pas. En mode autonome, le poste dialogue avec le serveur central quand il est en ligne, et avec son serveur embarqué sinon. Or ce sont deux autorités d’authentification distinctes, qui signent chacune avec son propre secret. La bascule ne changeait que l’adresse du serveur : le jeton émis par le central partait vers le serveur local, qui le refusait.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écarté une solution apparente. Partager le secret du serveur central aurait résolu le symptôme. Mais ce secret aurait été présent dans chaque installateur distribué, extractible, et il aurait permis de forger des jetons valides pour la production. La solution que nous avons retenue consiste à authentifier le poste auprès des deux autorités au moment de la connexion.</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écarté une solution apparente : partager le secret du serveur central aurait résolu le symptôme, mais ce secret aurait figuré, extractible, dans chaque installateur distribué, et permis de forger des jetons valides pour la production. La solution que nous avons retenue authentifie le poste auprès des deux autorités au moment de la connexion.</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deuxième est un indicateur de connectivité qui mentait. Il interrogeait le chemin de contrôle de santé du serveur. C’est aussi celui que l’hébergeur interroge pour ses décisions de routage : ce chemin peut répondre en erreur pendant une transition d’instance, indépendamment de la disponibilité réelle. Le phénomène a été constaté le 5 juillet 2026, avec des erreurs en rafale sur ce chemin alors que toutes les autres routes répondaient normalement. La solution a consisté à créer un chemin dédié, jamais sondé par l’hébergeur.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deuxième : un indicateur de connectivité qui mentait. Il interrogeait le chemin de contrôle de santé du serveur, celui-là même que l’hébergeur sonde pour ses décisions de routage, et qui peut répondre en erreur pendant une transition d’instance, indépendamment de la disponibilité réelle. Le 5 juillet 2026, ce chemin a renvoyé des erreurs en rafale alors que toutes les autres routes répondaient normalement. La solution a été un chemin dédié, jamais sondé par l’hébergeur.</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troisième est que des permissions ont été déployées sans exister en base. Le catalogue vit dans le code, mais les gardes lisent la base. Le 2 août 2026, douze permissions ajoutées au code étaient absentes de la base en production : les référentiels et les rapports en sont devenus inaccessibles. La solution a consisté en un script de synchronisation additif, rejoué à chaque déploiement.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troisième : des permissions déployées sans exister en base. Le 2 août 2026, douze permissions ajoutées au code étaient absentes de la base en production, rendant inaccessibles les référentiels et les rapports. La solution est un script de synchronisation additif, rejoué à chaque déploiement.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La quatrième est un compte sans rôle qui effondrait l’application. Un compte dépourvu de rôle se connecte, mais n’obtient aucun droit. L’application s’effondre alors sans que la cause soit visible pour l’utilisateur. Le cas a été constaté en production le 7 août 2026. La solution a consisté en un garde-fou permanent au démarrage. La cinquième est une collision d’unicité après suppression logique.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quatrième : un compte sans rôle qui effondrait l’application. Un tel compte se connecte, mais n’obtient aucun droit, et l’application s’effondre sans que l’utilisateur en voie la cause. Constaté en production le 7 août 2026, le cas est désormais couvert par un garde-fou permanent au démarrage.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Recréer un enregistrement portant une clé unique déjà utilisée par un enregistrement supprimé produisait une violation de contrainte, remontée en erreur serveur. L’utilisateur ne comprenait pas pourquoi il ne pouvait pas créer une entrée dont il venait de supprimer l’homonyme. La solution a consisté à détecter ce cas et à ressusciter l’enregistrement marqué, puis à traduire globalement les erreurs de base en messages explicites. Le comportement est verrouillé par un test de non-régression. La sixième est un canal temps réel coupé par les intermédiaires réseau.</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cinquième : une collision d’unicité après suppression logique. Recréer un enregistrement dont la clé unique appartenait à un enregistrement supprimé produisait une violation de contrainte, remontée en erreur serveur ; l’utilisateur ne comprenait pas pourquoi il ne pouvait pas créer une entrée dont il venait de supprimer l’homonyme. La solution détecte ce cas et ressuscite l’enregistrement marqué, et les erreurs de base sont désormais traduites en messages explicites. Un test de non-régression verrouille ce comportement.</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 canal est silencieux par nature. Or les équipements intermédiaires coupent une connexion muette au bout d’une minute environ. Chaque poste se serait donc reconnecté sans cesse, pour aucune information utile. La solution a consisté à émettre un battement régulier, plus court que le délai de coupure le plus agressif rencontré. Un point subtil mérite d’être relevé : ce battement porte un type différent de celui de la notification. Sans cela, les postes se seraient synchronisés à chaque battement, réinventant l’interrogation périodique que le canal visait à supprimer.</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La sixième : un canal temps réel coupé par les intermédiaires réseau. Ce canal est silencieux par nature, or les équipements intermédiaires coupent une connexion muette au bout d’une minute environ. Chaque poste se serait donc reconnecté sans cesse, pour aucune information utile. La solution est un battement régulier, plus court que le délai de coupure le plus agressif rencontré. Ce battement porte un type différent de celui de la notification ; sans cela, les postes se seraient synchronisés à chaque battement, réinventant l’interrogation périodique que le canal visait à supprimer.</w:t>
      </w:r>
    </w:p>
    <w:p>
      <w:pPr>
        <w:spacing w:after="120" w:line="300"/>
        <w:jc w:val="both"/>
      </w:pPr>
      <w:r>
        <w:rPr>
          <w:rFonts w:ascii="Times New Roman" w:cs="Times New Roman" w:eastAsia="Times New Roman" w:hAnsi="Times New Roman"/>
          <w:b/>
          <w:bCs/>
          <w:i/>
          <w:iCs/>
          <w:sz w:val="20"/>
          <w:szCs w:val="20"/>
        </w:rPr>
        <w:t xml:space="preserve">Conclusion du chapitre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L’implémentation couvre les vingt-trois besoins fonctionnels : vingt-deux pleinement, un partiellement. Elle représente environ 122 000 lignes de TypeScript réparties sur 644 fichiers, dépendances et fichiers générés exclus, avec 273 routes, 88 entités, 130 permissions et 40 migrations. Cent trois cas de test ont été exécutés le 10 août 2026, avec un taux de réussite de 100 %, et les dix suites sont désormais rattachées à une commande.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L’implémentation couvre les vingt-trois besoins fonctionnels, vingt-deux pleinement et un partiellement. Cent trois cas de test ont été exécutés le 10 août 2026, avec un taux de réussite de 100 %, et les dix suites sont désormais rattachées à une commande.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Deux limites sérieuses subsistent néanmoins. Le cœur clinique n’a aucun test automatisé exécuté. Et la règle d’éligibilité par catégorie n’est couverte par aucun test. Les difficultés rencontrées sont enfin instructives à un titre particulier. Aucune n’était un problème d’algorithme. Toutes relevaient de l’écart entre un système qui fonctionne en développement et un système qui tient en exploitation. C’est probablement l’enseignement technique le plus durable de ce projet.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Deux limites sérieuses subsistent : le cœur clinique n’a aucun test automatisé exécuté, et la règle d’éligibilité n’est couverte par aucun test (§ 7.6).</w:t>
      </w:r>
    </w:p>
    <w:p>
      <w:pPr>
        <w:pStyle w:val="Heading2"/>
        <w:spacing w:after="120" w:before="240"/>
      </w:pPr>
      <w:r>
        <w:rPr>
          <w:rFonts w:ascii="Times New Roman" w:cs="Times New Roman" w:eastAsia="Times New Roman" w:hAnsi="Times New Roman"/>
          <w:b/>
          <w:bCs/>
          <w:sz w:val="24"/>
          <w:szCs w:val="24"/>
        </w:rPr>
        <w:t xml:space="preserve">CONCLUSION GÉNÉRALE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Notre travail est parti d’une question. Comment concevoir un système de gestion des consultations et des dossiers médicaux qui remplisse quatre conditions à la fois ? Tenir un seul dossier par patient sur les deux sites. Appliquer sans erreur les règles de prise en charge. Garder la trace de chaque acte. Et continuer de fonctionner quand le réseau tombe.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Notre travail est parti d’une question : comment concevoir un système qui tienne un seul dossier par patient sur les deux sites, applique sans erreur les règles de prise en charge, garde la trace de chaque acte et continue de fonctionner quand le réseau tombe ?</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Cette question contient une contradiction. Relier deux sites suppose que l’information circule. Fonctionner sans réseau suppose qu’elle puisse ne pas circuler. C’est cette contradiction qui a guidé tout notre travail, et qui explique notre choix de 2TUP. Cette méthode traite le besoin métier et la contrainte technique dans deux branches séparées, qui ne se rejoignent qu’à la conception. Sans cette séparation, l’un des deux aurait été sacrifié à l’autre.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Elle portait une contradiction — faire circuler l’information entre deux sites, tout en acceptant qu’elle ne circule pas — qui a guidé tout le travail et justifié le choix de 2TUP : en traitant le besoin métier et la contrainte technique dans deux branches séparées, qui ne se rejoignent qu’à la conception, la méthode a évité de sacrifier l’un à l’autre.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produit une plateforme dont l’ampleur se mesure, plutôt qu’elle ne s’affirme. Les chiffres viennent d’un comptage direct dans le code : environ 122 000 lignes de TypeScript réparties sur 644 fichiers, dépendances et fichiers générés exclus, 273 routes d’API, 88 entités de données reliées par 97 associations, 130 permissions réparties sur trois rôles, quinze écrans, 40 migrations de base de données, 46 entités synchronisées hors connexion, six documents imprimables et deux langues d’interface. Les vingt-trois besoins fonctionnels identifiés sont réalisés : vingt-deux pleinement, un partiellement. La problématique reçoit quatre réponses.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produit une plateforme dont l’ampleur se mesure plutôt qu’elle ne s’affirme. Comptés directement dans le code : environ 122 000 lignes de TypeScript réparties sur 644 fichiers, dépendances et fichiers générés exclus, 273 routes d’API, 88 entités de données reliées par 97 associations, 130 permissions réparties sur trois rôles, quinze écrans, 40 migrations de base de données, 46 entités synchronisées hors connexion, six documents imprimables et deux langues d’interface. Les vingt-trois besoins fonctionnels sont réalisés, vingt-deux pleinement et un partiellement. La problématique reçoit quatre réponses.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avons mesuré la couverture du besoin, nous ne l’avons pas seulement affirmée. Nous avons confronté un à un les dix-huit besoins recueillis auprès des quatre acteurs à ce que le système réalise. Six sont couverts. Quatre le sont partiellement. Huit relèvent de domaines que le projet a explicitement écartés. Aucun n’est resté sans réponse à l’intérieur du périmètre retenu. Cette dernière valeur est la plus importante : elle établit que le projet n’a pas laissé de trou dans le domaine qu’il s’est donné.</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Nous avons mesuré la couverture du besoin, nous ne l’avons pas seulement affirmée : les dix-huit besoins recueillis auprès des quatre acteurs ont été confrontés un à un à ce que le système réalise. Six sont couverts, quatre partiellement, huit relèvent de domaines explicitement écartés, et aucun n’est resté sans réponse à l’intérieur du périmètre retenu.</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Les apports de notre travail se situent à trois niveaux. Pour le Centre Médico-Sanitaire, le système supprime les ressaisies, consolide les historiques entre les deux sites, et applique uniformément une règle qui reposait auparavant sur la vigilance humaine. Pour notre formation, le projet a exigé de mettre en œuvre une chaîne d’ingénierie complète. La difficulté dominante n’a pas été algorithmique mais architecturale : faire coexister deux modes d’exécution d’un même code.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Les apports se situent à trois niveaux. Pour le Centre Médico-Sanitaire, le système supprime les ressaisies, consolide les historiques entre les deux sites et applique uniformément une règle qui reposait sur la vigilance humaine. Pour notre formation, le projet a exigé une chaîne d’ingénierie complète, dont la difficulté majeure a été de faire coexister deux modes d’exécution d’un même code.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Pour le domaine enfin, plus modestement, ce travail documente une réponse argumentée à un problème récurrent dans la sous-région : concevoir pour un environnement où la connectivité n’est pas acquise. Nous énonçons ici nos limites, plutôt que de les laisser découvrir ailleurs. La validation est partielle. Cent trois cas de test ont été exécutés le 10 août 2026, et tous ont réussi. Mais quarante-trois cas n’ont pas pu l’être : ils exigent un serveur démarré et une base remplie.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Pour le domaine enfin, plus modestement, ce travail documente une réponse argumentée à un problème récurrent dans la sous-région : concevoir là où la connectivité n’est pas acquise. Il a aussi ses limites. La validation est partielle : cent trois cas de test ont réussi le 10 août 2026, mais quarante-trois n’ont pas pu être exécutés, faute de serveur démarré et de base remplie.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Le cœur clinique n’est pas testé automatiquement. La règle d’éligibilité par catégorie est la plus importante du système, et aucun test ne la couvre. C’est la lacune la plus sérieuse. Le mode autonome n’a pas été éprouvé par une exécution complète sur machine cible, et la synchronisation n’a pas été validée entre deux postes réels. La signature de code n’est pas active. Cinq machines à états ne sont pas garanties par la base de données.</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Le cœur clinique n’est pas testé automatiquement, et la règle d’éligibilité, la plus importante du système, n’est couverte par aucun test. Le mode autonome n’a pas été éprouvé par une exécution complète sur machine cible, ni la synchronisation validée entre deux postes réels. La signature de code n’est pas active, et cinq machines à états ne sont pas garanties par la base de données.</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Trois besoins du périmètre ne sont enfin que partiellement satisfaits. C’est le cas des axes statistiques attendus par le Médecin Chef : quatre sur dix restent hors d’atteinte. Le volet contextuel reste lui aussi incomplet, faute d’avoir relevé l’infrastructure réseau et les chiffres d’activité du centre.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Quatre besoins du périmètre ne sont par ailleurs que partiellement satisfaits (Tableau 5.3), dont les axes statistiques attendus par le Médecin Chef : quatre sur dix restent hors d’atteinte. Le volet contextuel reste lui aussi incomplet, faute d’avoir relevé l’infrastructure réseau et les chiffres d’activité du centre.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Une précision de statut s’impose enfin, et elle n’est pas de pure forme. Le système est déployé en ligne pour les besoins de la démonstration, et des incidents d’exploitation datés attestent de son fonctionnement réel. Mais aucun usage clinique par le personnel du centre n’est établi. Nous disons donc « conçu et développé », jamais « déployé et utilisé ».</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Une précision de statut s’impose enfin. Le système est déployé en ligne pour les besoins de la démonstration, et des incidents d’exploitation datés attestent de son fonctionnement réel. Mais aucun usage clinique par le personnel du centre n’est établi : nous disons donc « conçu et développé », jamais « déployé et utilisé ».</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À court terme, il faudrait exécuter les cinq suites d’intégration restantes, valider le mode autonome sur machine cible, alléger le triage pour les consultations spécialisées, et relever l’infrastructure réseau du centre. Ce dernier point demanderait un entretien de vingt minutes. À moyen terme, il conviendrait d’étendre la couverture de test au cœur clinique, de mettre en place une intégration continue, d’activer la signature de code, et de migrer les cinq machines à états vers des types contraints par la base.</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À court terme, il faudrait exécuter les cinq suites de test restantes, valider le mode autonome sur machine cible, mesurer les temps de réponse, alléger le triage pour les consultations spécialisées et relever l’infrastructure réseau du centre. À moyen terme, il conviendrait d’étendre la couverture de test au cœur clinique, de mettre en place une intégration continue, d’activer la signature de code et de migrer les cinq machines à états vers des types contraints par la base.</w:t>
      </w:r>
    </w:p>
    <w:p>
      <w:pPr>
        <w:shd w:fill="EDEDED" w:color="auto" w:val="clear"/>
        <w:spacing w:after="80" w:line="280"/>
        <w:jc w:val="both"/>
      </w:pPr>
      <w:r>
        <w:rPr>
          <w:rFonts w:ascii="Times New Roman" w:cs="Times New Roman" w:eastAsia="Times New Roman" w:hAnsi="Times New Roman"/>
          <w:b/>
          <w:bCs/>
          <w:sz w:val="20"/>
          <w:szCs w:val="20"/>
        </w:rPr>
        <w:t xml:space="preserve">Avant </w:t>
      </w:r>
      <w:r>
        <w:rPr>
          <w:rFonts w:ascii="Times New Roman" w:cs="Times New Roman" w:eastAsia="Times New Roman" w:hAnsi="Times New Roman"/>
          <w:sz w:val="20"/>
          <w:szCs w:val="20"/>
        </w:rPr>
        <w:t xml:space="preserve">Nous en avons rencontré quatre : deux autorités d’authentification là où nous n’en voyions qu’une, un indicateur de disponibilité détourné de son usage par l’hébergeur, un catalogue de droits resté en retard sur le code, et un canal temps réel coupé par un intermédiaire réseau invisible. Aucune n’était prévisible depuis un schéma. Toutes se sont révélées à l’usage. Chacune a exigé de comprendre non pas notre code, mais l’environnement dans lequel il s’exécutait.</w:t>
      </w:r>
    </w:p>
    <w:p>
      <w:pPr>
        <w:shd w:fill="E2EFDA" w:color="auto" w:val="clear"/>
        <w:spacing w:after="80" w:line="280"/>
        <w:jc w:val="both"/>
      </w:pPr>
      <w:r>
        <w:rPr>
          <w:rFonts w:ascii="Times New Roman" w:cs="Times New Roman" w:eastAsia="Times New Roman" w:hAnsi="Times New Roman"/>
          <w:b/>
          <w:bCs/>
          <w:sz w:val="20"/>
          <w:szCs w:val="20"/>
        </w:rPr>
        <w:t xml:space="preserve">Après </w:t>
      </w:r>
      <w:r>
        <w:rPr>
          <w:rFonts w:ascii="Times New Roman" w:cs="Times New Roman" w:eastAsia="Times New Roman" w:hAnsi="Times New Roman"/>
          <w:sz w:val="20"/>
          <w:szCs w:val="20"/>
        </w:rPr>
        <w:t xml:space="preserve">Quatre des six difficultés rapportées au § 7.8 l’illustrent : deux autorités d’authentification là où nous n’en voyions qu’une, un indicateur de disponibilité détourné de son usage par l’hébergeur, un catalogue de droits resté en retard sur le code, et un canal temps réel coupé par un intermédiaire réseau invisible. Aucune n’était prévisible depuis un schéma ; toutes se sont révélées à l’usage, et chacune a exigé de comprendre non pas notre code, mais l’environnement dans lequel il s’exécutait.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2026-09-25T06:35:48.906Z</dcterms:created>
  <dcterms:modified xsi:type="dcterms:W3CDTF">2026-09-25T06:35:48.907Z</dcterms:modified>
</cp:coreProperties>
</file>

<file path=docProps/custom.xml><?xml version="1.0" encoding="utf-8"?>
<Properties xmlns="http://schemas.openxmlformats.org/officeDocument/2006/custom-properties" xmlns:vt="http://schemas.openxmlformats.org/officeDocument/2006/docPropsVTypes"/>
</file>