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6"/>
          <w:szCs w:val="36"/>
        </w:rPr>
        <w:t xml:space="preserve">Deuxième relecture critique du mémoire</w:t>
      </w:r>
    </w:p>
    <w:p>
      <w:pPr>
        <w:spacing w:after="240"/>
        <w:jc w:val="center"/>
      </w:pPr>
      <w:r>
        <w:rPr>
          <w:rFonts w:ascii="Times New Roman" w:cs="Times New Roman" w:eastAsia="Times New Roman" w:hAnsi="Times New Roman"/>
          <w:b w:val="false"/>
          <w:bCs w:val="false"/>
          <w:i/>
          <w:iCs/>
          <w:sz w:val="22"/>
          <w:szCs w:val="22"/>
        </w:rPr>
        <w:t xml:space="preserve">Document de travail — rien n’a encore été modifié dans Memoire_CMS_SARIS.docx</w:t>
      </w:r>
    </w:p>
    <w:p>
      <w:pPr>
        <w:spacing w:after="120" w:line="300"/>
        <w:jc w:val="both"/>
      </w:pPr>
      <w:r>
        <w:rPr>
          <w:rFonts w:ascii="Times New Roman" w:cs="Times New Roman" w:eastAsia="Times New Roman" w:hAnsi="Times New Roman"/>
          <w:b w:val="false"/>
          <w:bCs w:val="false"/>
          <w:i w:val="false"/>
          <w:iCs w:val="false"/>
          <w:sz w:val="22"/>
          <w:szCs w:val="22"/>
        </w:rPr>
        <w:t xml:space="preserve">J’ai relu le mémoire en entier, de la dédicace à la webographie. J’ai aussi passé tout le texte dans un correcteur automatique (LanguageTool, installé en local : le texte n’est pas sorti de l’ordinateur de travail) et dans un détecteur de phrases répétées d’un chapitre à l’autre. Chaque correction proposée figure plus bas : le texte actuel sur fond gris (« Avant »), le texte proposé sur fond vert (« Après »), avec la raison en une ligne.</w:t>
      </w:r>
    </w:p>
    <w:p>
      <w:pPr>
        <w:spacing w:after="120" w:line="300"/>
        <w:jc w:val="both"/>
      </w:pPr>
      <w:r>
        <w:rPr>
          <w:rFonts w:ascii="Times New Roman" w:cs="Times New Roman" w:eastAsia="Times New Roman" w:hAnsi="Times New Roman"/>
          <w:b w:val="false"/>
          <w:bCs w:val="false"/>
          <w:i w:val="false"/>
          <w:iCs w:val="false"/>
          <w:sz w:val="22"/>
          <w:szCs w:val="22"/>
        </w:rPr>
        <w:t xml:space="preserve">Aucun chiffre, aucune source, aucune règle métier et aucun aveu de limite n’a été retiré sans raison : une comparaison automatique a vérifié, paragraphe par paragraphe, les nombres, les identifiants (BF, BNF, UC, §) et les noms propres.</w:t>
      </w:r>
    </w:p>
    <w:p>
      <w:pPr>
        <w:pStyle w:val="Heading1"/>
        <w:spacing w:after="120" w:before="280"/>
      </w:pPr>
      <w:r>
        <w:rPr>
          <w:rFonts w:ascii="Times New Roman" w:cs="Times New Roman" w:eastAsia="Times New Roman" w:hAnsi="Times New Roman"/>
          <w:b/>
          <w:bCs/>
          <w:i w:val="false"/>
          <w:iCs w:val="false"/>
          <w:sz w:val="30"/>
          <w:szCs w:val="30"/>
        </w:rPr>
        <w:t xml:space="preserve">1. Bilan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c>
          <w:tcPr>
            <w:tcW w:type="dxa" w:w="6526"/>
            <w:shd w:fill="D9E2F3" w:color="auto" w:val="clear"/>
            <w:tcMar>
              <w:top w:type="dxa" w:w="60"/>
              <w:left w:type="dxa" w:w="100"/>
              <w:bottom w:type="dxa" w:w="60"/>
              <w:right w:type="dxa" w:w="100"/>
            </w:tcMar>
          </w:tcPr>
          <w:p>
            <w:r>
              <w:rPr>
                <w:rFonts w:ascii="Times New Roman" w:cs="Times New Roman" w:eastAsia="Times New Roman" w:hAnsi="Times New Roman"/>
                <w:b/>
                <w:bCs/>
                <w:i w:val="false"/>
                <w:iCs w:val="false"/>
                <w:sz w:val="20"/>
                <w:szCs w:val="20"/>
              </w:rPr>
              <w:t xml:space="preserve">Famille de corrections</w:t>
            </w:r>
          </w:p>
        </w:tc>
        <w:tc>
          <w:tcPr>
            <w:tcW w:type="dxa" w:w="2500"/>
            <w:shd w:fill="D9E2F3" w:color="auto" w:val="clear"/>
            <w:tcMar>
              <w:top w:type="dxa" w:w="60"/>
              <w:left w:type="dxa" w:w="100"/>
              <w:bottom w:type="dxa" w:w="60"/>
              <w:right w:type="dxa" w:w="100"/>
            </w:tcMar>
          </w:tcPr>
          <w:p>
            <w:r>
              <w:rPr>
                <w:rFonts w:ascii="Times New Roman" w:cs="Times New Roman" w:eastAsia="Times New Roman" w:hAnsi="Times New Roman"/>
                <w:b/>
                <w:bCs/>
                <w:i w:val="false"/>
                <w:iCs w:val="false"/>
                <w:sz w:val="20"/>
                <w:szCs w:val="20"/>
              </w:rPr>
              <w:t xml:space="preserve">Nombre</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Erreurs de fond (chiffres, contradictions, raisonnement)</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20</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Fautes d’orthographe et de grammaire</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10</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Doublons et répétitions entre chapitres</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20</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Cohérence du vocabulaire (même chose, même mot)</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26</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Français plus simple et plus clair</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47</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Découpage des paragraphes, ponctuation, mise en page</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41</w:t>
            </w:r>
          </w:p>
        </w:tc>
      </w:tr>
      <w:tr>
        <w:tc>
          <w:tcPr>
            <w:tcW w:type="dxa" w:w="6526"/>
            <w:tcMar>
              <w:top w:type="dxa" w:w="60"/>
              <w:left w:type="dxa" w:w="100"/>
              <w:bottom w:type="dxa" w:w="60"/>
              <w:right w:type="dxa" w:w="100"/>
            </w:tcMar>
          </w:tcPr>
          <w:p>
            <w:r>
              <w:rPr>
                <w:rFonts w:ascii="Times New Roman" w:cs="Times New Roman" w:eastAsia="Times New Roman" w:hAnsi="Times New Roman"/>
                <w:b/>
                <w:bCs/>
                <w:i w:val="false"/>
                <w:iCs w:val="false"/>
                <w:sz w:val="20"/>
                <w:szCs w:val="20"/>
              </w:rPr>
              <w:t xml:space="preserve">Total des corrections ciblées</w:t>
            </w:r>
          </w:p>
        </w:tc>
        <w:tc>
          <w:tcPr>
            <w:tcW w:type="dxa" w:w="2500"/>
            <w:tcMar>
              <w:top w:type="dxa" w:w="60"/>
              <w:left w:type="dxa" w:w="100"/>
              <w:bottom w:type="dxa" w:w="60"/>
              <w:right w:type="dxa" w:w="100"/>
            </w:tcMar>
          </w:tcPr>
          <w:p>
            <w:r>
              <w:rPr>
                <w:rFonts w:ascii="Times New Roman" w:cs="Times New Roman" w:eastAsia="Times New Roman" w:hAnsi="Times New Roman"/>
                <w:b/>
                <w:bCs/>
                <w:i w:val="false"/>
                <w:iCs w:val="false"/>
                <w:sz w:val="20"/>
                <w:szCs w:val="20"/>
              </w:rPr>
              <w:t xml:space="preserve">164</w:t>
            </w:r>
          </w:p>
        </w:tc>
      </w:tr>
      <w:tr>
        <w:tc>
          <w:tcPr>
            <w:tcW w:type="dxa" w:w="6526"/>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Espaces insécables ajoutés dans tout le texte (devant : ; ? et à l’intérieur des guillemets)</w:t>
            </w:r>
          </w:p>
        </w:tc>
        <w:tc>
          <w:tcPr>
            <w:tcW w:type="dxa" w:w="2500"/>
            <w:tcMar>
              <w:top w:type="dxa" w:w="60"/>
              <w:left w:type="dxa" w:w="100"/>
              <w:bottom w:type="dxa" w:w="60"/>
              <w:right w:type="dxa" w:w="100"/>
            </w:tcMar>
          </w:tcPr>
          <w:p>
            <w:r>
              <w:rPr>
                <w:rFonts w:ascii="Times New Roman" w:cs="Times New Roman" w:eastAsia="Times New Roman" w:hAnsi="Times New Roman"/>
                <w:b w:val="false"/>
                <w:bCs w:val="false"/>
                <w:i w:val="false"/>
                <w:iCs w:val="false"/>
                <w:sz w:val="20"/>
                <w:szCs w:val="20"/>
              </w:rPr>
              <w:t xml:space="preserve">environ 480</w:t>
            </w:r>
          </w:p>
        </w:tc>
      </w:tr>
    </w:tbl>
    <w:p>
      <w:pPr>
        <w:spacing w:after="120" w:line="300"/>
        <w:jc w:val="both"/>
      </w:pPr>
      <w:r>
        <w:rPr>
          <w:rFonts w:ascii="Times New Roman" w:cs="Times New Roman" w:eastAsia="Times New Roman" w:hAnsi="Times New Roman"/>
          <w:b w:val="false"/>
          <w:bCs w:val="false"/>
          <w:i w:val="false"/>
          <w:iCs w:val="false"/>
          <w:sz w:val="22"/>
          <w:szCs w:val="22"/>
        </w:rPr>
        <w:t xml:space="preserve"/>
      </w:r>
    </w:p>
    <w:p>
      <w:pPr>
        <w:spacing w:after="120" w:line="300"/>
        <w:jc w:val="both"/>
      </w:pPr>
      <w:r>
        <w:rPr>
          <w:rFonts w:ascii="Times New Roman" w:cs="Times New Roman" w:eastAsia="Times New Roman" w:hAnsi="Times New Roman"/>
          <w:b w:val="false"/>
          <w:bCs w:val="false"/>
          <w:i w:val="false"/>
          <w:iCs w:val="false"/>
          <w:sz w:val="22"/>
          <w:szCs w:val="22"/>
        </w:rPr>
        <w:t xml:space="preserve">Mon avis honnête : le mémoire était déjà solide. Le correcteur automatique n’a trouvé presque aucune faute d’orthographe (hors noms propres et termes techniques). Les vrais défauts étaient ailleurs : quelques erreurs de fond qu’un jury attentif aurait relevées, des idées redites d’un chapitre à l’autre, et des phrases trop savantes pour un lecteur non spécialiste.</w:t>
      </w:r>
    </w:p>
    <w:p>
      <w:pPr>
        <w:pStyle w:val="Heading1"/>
        <w:spacing w:after="120" w:before="280"/>
      </w:pPr>
      <w:r>
        <w:rPr>
          <w:rFonts w:ascii="Times New Roman" w:cs="Times New Roman" w:eastAsia="Times New Roman" w:hAnsi="Times New Roman"/>
          <w:b/>
          <w:bCs/>
          <w:i w:val="false"/>
          <w:iCs w:val="false"/>
          <w:sz w:val="30"/>
          <w:szCs w:val="30"/>
        </w:rPr>
        <w:t xml:space="preserve">2. Les erreurs de fond — les plus importantes</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2.8 et conclusion : </w:t>
      </w:r>
      <w:r>
        <w:rPr>
          <w:rFonts w:ascii="Times New Roman" w:cs="Times New Roman" w:eastAsia="Times New Roman" w:hAnsi="Times New Roman"/>
          <w:b w:val="false"/>
          <w:bCs w:val="false"/>
          <w:i w:val="false"/>
          <w:iCs w:val="false"/>
          <w:sz w:val="22"/>
          <w:szCs w:val="22"/>
        </w:rPr>
        <w:t xml:space="preserve">« trois besoins de priorité haute restent sans réponse ». Faux : les tableaux 4.9 et 5.3 en montrent cinq (R1, R2, P1, P2, P3). Corrigé en « cinq besoins », regroupés en « trois chantiers ».</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4.5 : </w:t>
      </w:r>
      <w:r>
        <w:rPr>
          <w:rFonts w:ascii="Times New Roman" w:cs="Times New Roman" w:eastAsia="Times New Roman" w:hAnsi="Times New Roman"/>
          <w:b w:val="false"/>
          <w:bCs w:val="false"/>
          <w:i w:val="false"/>
          <w:iCs w:val="false"/>
          <w:sz w:val="22"/>
          <w:szCs w:val="22"/>
        </w:rPr>
        <w:t xml:space="preserve">raisonnement circulaire. Le texte disait que notre architecture sans réseau « établit » qu’un problème de connexion existait. Or c’est nous qui avons choisi cette architecture : elle ne peut rien prouver. Le paragraphe dit maintenant honnêtement que le choix repose sur la prudence, appuyée par un fait (les travaux réseau de Moutela).</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7.5 : </w:t>
      </w:r>
      <w:r>
        <w:rPr>
          <w:rFonts w:ascii="Times New Roman" w:cs="Times New Roman" w:eastAsia="Times New Roman" w:hAnsi="Times New Roman"/>
          <w:b w:val="false"/>
          <w:bCs w:val="false"/>
          <w:i w:val="false"/>
          <w:iCs w:val="false"/>
          <w:sz w:val="22"/>
          <w:szCs w:val="22"/>
        </w:rPr>
        <w:t xml:space="preserve">« Les vingt-trois besoins sont réalisés » alors que BF23 est partiel (et le résumé dit bien « vingt-deux sur vingt-trois »). Et les « trois canaux » y étaient « PWA, API, client de bureau », alors qu’au § 2.8 ce sont « web, bureau connecté, bureau autonome ». Les deux corrigés.</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3.5 et § 7.7 : </w:t>
      </w:r>
      <w:r>
        <w:rPr>
          <w:rFonts w:ascii="Times New Roman" w:cs="Times New Roman" w:eastAsia="Times New Roman" w:hAnsi="Times New Roman"/>
          <w:b w:val="false"/>
          <w:bCs w:val="false"/>
          <w:i w:val="false"/>
          <w:iCs w:val="false"/>
          <w:sz w:val="22"/>
          <w:szCs w:val="22"/>
        </w:rPr>
        <w:t xml:space="preserve">« mise en production » alors que le mémoire dit ailleurs que le système n’est pas en service au centre. Le § 7.7 devient « Déploiement en ligne », et le mot « production » est défini une fois.</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Résumé, abstract et conclusion : </w:t>
      </w:r>
      <w:r>
        <w:rPr>
          <w:rFonts w:ascii="Times New Roman" w:cs="Times New Roman" w:eastAsia="Times New Roman" w:hAnsi="Times New Roman"/>
          <w:b w:val="false"/>
          <w:bCs w:val="false"/>
          <w:i w:val="false"/>
          <w:iCs w:val="false"/>
          <w:sz w:val="22"/>
          <w:szCs w:val="22"/>
        </w:rPr>
        <w:t xml:space="preserve">des phrases au passé ou au présent laissaient croire que le système est déjà utilisé par le centre (« gérait auparavant », « le système supprime les ressaisies »). Corrigé, par honnêteté.</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5.3.2 : </w:t>
      </w:r>
      <w:r>
        <w:rPr>
          <w:rFonts w:ascii="Times New Roman" w:cs="Times New Roman" w:eastAsia="Times New Roman" w:hAnsi="Times New Roman"/>
          <w:b w:val="false"/>
          <w:bCs w:val="false"/>
          <w:i w:val="false"/>
          <w:iCs w:val="false"/>
          <w:sz w:val="22"/>
          <w:szCs w:val="22"/>
        </w:rPr>
        <w:t xml:space="preserve">« lorsque le pharmacien remet les médicaments » : la pharmacienne n’utilise pas le système (tableau 1.4). La délivrance (UC44) est enregistrée par le Médecin Chef (tableau 5.9).</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Conclusion (perspectives) : </w:t>
      </w:r>
      <w:r>
        <w:rPr>
          <w:rFonts w:ascii="Times New Roman" w:cs="Times New Roman" w:eastAsia="Times New Roman" w:hAnsi="Times New Roman"/>
          <w:b w:val="false"/>
          <w:bCs w:val="false"/>
          <w:i w:val="false"/>
          <w:iCs w:val="false"/>
          <w:sz w:val="22"/>
          <w:szCs w:val="22"/>
        </w:rPr>
        <w:t xml:space="preserve">« réalisable avant la soutenance » (le jury demanderait : pourquoi ne pas l’avoir fait ?) et contradiction avec le tableau 5.3 sur la « direction ». Vérifié dans le schéma de la base : le service, le département et la fonction existent, la direction non. Phrase corrigée.</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2.7 : </w:t>
      </w:r>
      <w:r>
        <w:rPr>
          <w:rFonts w:ascii="Times New Roman" w:cs="Times New Roman" w:eastAsia="Times New Roman" w:hAnsi="Times New Roman"/>
          <w:b w:val="false"/>
          <w:bCs w:val="false"/>
          <w:i w:val="false"/>
          <w:iCs w:val="false"/>
          <w:sz w:val="22"/>
          <w:szCs w:val="22"/>
        </w:rPr>
        <w:t xml:space="preserve">la section finissait sur une nouvelle question, différente de la problématique et jamais reprise. Remplacée par une conclusion qui renvoie à la problématique (§ 2.2).</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Conclusion du ch. 4 : </w:t>
      </w:r>
      <w:r>
        <w:rPr>
          <w:rFonts w:ascii="Times New Roman" w:cs="Times New Roman" w:eastAsia="Times New Roman" w:hAnsi="Times New Roman"/>
          <w:b w:val="false"/>
          <w:bCs w:val="false"/>
          <w:i w:val="false"/>
          <w:iCs w:val="false"/>
          <w:sz w:val="22"/>
          <w:szCs w:val="22"/>
        </w:rPr>
        <w:t xml:space="preserve">les trois raisons citées n’étaient pas les trois contraintes posées au § 4.10. Alignées.</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4.10 : </w:t>
      </w:r>
      <w:r>
        <w:rPr>
          <w:rFonts w:ascii="Times New Roman" w:cs="Times New Roman" w:eastAsia="Times New Roman" w:hAnsi="Times New Roman"/>
          <w:b w:val="false"/>
          <w:bCs w:val="false"/>
          <w:i w:val="false"/>
          <w:iCs w:val="false"/>
          <w:sz w:val="22"/>
          <w:szCs w:val="22"/>
        </w:rPr>
        <w:t xml:space="preserve">« tout en payant une licence » était faux pour la solution libre (licence nulle, tableau 4.11).</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 7.4 : </w:t>
      </w:r>
      <w:r>
        <w:rPr>
          <w:rFonts w:ascii="Times New Roman" w:cs="Times New Roman" w:eastAsia="Times New Roman" w:hAnsi="Times New Roman"/>
          <w:b w:val="false"/>
          <w:bCs w:val="false"/>
          <w:i w:val="false"/>
          <w:iCs w:val="false"/>
          <w:sz w:val="22"/>
          <w:szCs w:val="22"/>
        </w:rPr>
        <w:t xml:space="preserve">« huit référentiels » : cinq seulement étaient cités, et les huit classes comprennent le personnel et les délégations (tableau 7.1). « ces vingt lignes » : la fonction en compte 23.</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Tableau 7.5 : </w:t>
      </w:r>
      <w:r>
        <w:rPr>
          <w:rFonts w:ascii="Times New Roman" w:cs="Times New Roman" w:eastAsia="Times New Roman" w:hAnsi="Times New Roman"/>
          <w:b w:val="false"/>
          <w:bCs w:val="false"/>
          <w:i w:val="false"/>
          <w:iCs w:val="false"/>
          <w:sz w:val="22"/>
          <w:szCs w:val="22"/>
        </w:rPr>
        <w:t xml:space="preserve">« les 12 diagrammes » : le mémoire en contient bien plus (environ 24 planches). Le nombre est retiré.</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Dédicace : </w:t>
      </w:r>
      <w:r>
        <w:rPr>
          <w:rFonts w:ascii="Times New Roman" w:cs="Times New Roman" w:eastAsia="Times New Roman" w:hAnsi="Times New Roman"/>
          <w:b w:val="false"/>
          <w:bCs w:val="false"/>
          <w:i w:val="false"/>
          <w:iCs w:val="false"/>
          <w:sz w:val="22"/>
          <w:szCs w:val="22"/>
        </w:rPr>
        <w:t xml:space="preserve">« avec patient et diligence » au lieu de « avec patience ». C’est la faute la plus visible ; les autres sont des accents manquants (« A » au lieu de « À », quatre fois), « fin d’étude » au lieu de « fin d’études » et un accord (« rapports hebdomadaires, mensuels et annuels »).</w:t>
      </w:r>
    </w:p>
    <w:p>
      <w:pPr>
        <w:pStyle w:val="Heading1"/>
        <w:spacing w:after="120" w:before="280"/>
      </w:pPr>
      <w:r>
        <w:rPr>
          <w:rFonts w:ascii="Times New Roman" w:cs="Times New Roman" w:eastAsia="Times New Roman" w:hAnsi="Times New Roman"/>
          <w:b/>
          <w:bCs/>
          <w:i w:val="false"/>
          <w:iCs w:val="false"/>
          <w:sz w:val="30"/>
          <w:szCs w:val="30"/>
        </w:rPr>
        <w:t xml:space="preserve">3. Ce que je ne peux pas décider seul</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Dédicace : </w:t>
      </w:r>
      <w:r>
        <w:rPr>
          <w:rFonts w:ascii="Times New Roman" w:cs="Times New Roman" w:eastAsia="Times New Roman" w:hAnsi="Times New Roman"/>
          <w:b w:val="false"/>
          <w:bCs w:val="false"/>
          <w:i w:val="false"/>
          <w:iCs w:val="false"/>
          <w:sz w:val="22"/>
          <w:szCs w:val="22"/>
        </w:rPr>
        <w:t xml:space="preserve">huit lignes « ▪ (nom) » attendent encore des noms. Il faut soit les remplir, soit retirer ces listes. Je n’ai rien touché.</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Extrait de code du § 7.4 (zone protégée) : </w:t>
      </w:r>
      <w:r>
        <w:rPr>
          <w:rFonts w:ascii="Times New Roman" w:cs="Times New Roman" w:eastAsia="Times New Roman" w:hAnsi="Times New Roman"/>
          <w:b w:val="false"/>
          <w:bCs w:val="false"/>
          <w:i w:val="false"/>
          <w:iCs w:val="false"/>
          <w:sz w:val="22"/>
          <w:szCs w:val="22"/>
        </w:rPr>
        <w:t xml:space="preserve">les guillemets du code sont typographiques (‘apply’) au lieu d’être droits ('apply'). Un membre du jury qui connaît TypeScript verra que ce code ne compilerait pas tel quel. Une ligne de commentaire est aussi mal alignée. Je ne touche pas à cette zone sans ton accord.</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Le point faible le plus sérieux du mémoire : </w:t>
      </w:r>
      <w:r>
        <w:rPr>
          <w:rFonts w:ascii="Times New Roman" w:cs="Times New Roman" w:eastAsia="Times New Roman" w:hAnsi="Times New Roman"/>
          <w:b w:val="false"/>
          <w:bCs w:val="false"/>
          <w:i w:val="false"/>
          <w:iCs w:val="false"/>
          <w:sz w:val="22"/>
          <w:szCs w:val="22"/>
        </w:rPr>
        <w:t xml:space="preserve">la règle d’éligibilité, présentée partout comme la plus importante, n’est couverte par aucun test (§ 7.6). Le mémoire le dit honnêtement, mais le jury posera la question. Écrire ce test avant la soutenance supprimerait cette faiblesse ; il faudrait ensuite mettre à jour le § 7.6, le tableau 7.8 et la conclusion.</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Italique : </w:t>
      </w:r>
      <w:r>
        <w:rPr>
          <w:rFonts w:ascii="Times New Roman" w:cs="Times New Roman" w:eastAsia="Times New Roman" w:hAnsi="Times New Roman"/>
          <w:b w:val="false"/>
          <w:bCs w:val="false"/>
          <w:i w:val="false"/>
          <w:iCs w:val="false"/>
          <w:sz w:val="22"/>
          <w:szCs w:val="22"/>
        </w:rPr>
        <w:t xml:space="preserve">cinq paragraphes (§ 2.1, § 2.2 et l’introduction du § 5.3.2) sont entièrement en italique, les seuls du corps du texte. Je propose de les remettre en caractères normaux. Si c’était voulu (pour la problématique par exemple), dis-le-moi.</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Définitions du § 2.9 : </w:t>
      </w:r>
      <w:r>
        <w:rPr>
          <w:rFonts w:ascii="Times New Roman" w:cs="Times New Roman" w:eastAsia="Times New Roman" w:hAnsi="Times New Roman"/>
          <w:b w:val="false"/>
          <w:bCs w:val="false"/>
          <w:i w:val="false"/>
          <w:iCs w:val="false"/>
          <w:sz w:val="22"/>
          <w:szCs w:val="22"/>
        </w:rPr>
        <w:t xml:space="preserve">plusieurs termes (cloisonnement, délégation, verrou de dossier) sont utilisés dès le § 2.3, avant d’être définis au § 2.9. Déplacer la section serait mieux, mais c’est une opération lourde (section + tableau). Je la signale sans la faire.</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Bibliographie : </w:t>
      </w:r>
      <w:r>
        <w:rPr>
          <w:rFonts w:ascii="Times New Roman" w:cs="Times New Roman" w:eastAsia="Times New Roman" w:hAnsi="Times New Roman"/>
          <w:b w:val="false"/>
          <w:bCs w:val="false"/>
          <w:i w:val="false"/>
          <w:iCs w:val="false"/>
          <w:sz w:val="22"/>
          <w:szCs w:val="22"/>
        </w:rPr>
        <w:t xml:space="preserve">l’ouvrage de Jacobson, Booch et Rumbaugh (1999) indique « New York » ; la ville habituellement citée pour Addison-Wesley à cette date est Reading (Massachusetts). À vérifier sur la page de titre si tu as le livre.</w:t>
      </w:r>
    </w:p>
    <w:p>
      <w:pPr>
        <w:pStyle w:val="ListParagraph"/>
        <w:numPr>
          <w:ilvl w:val="0"/>
          <w:numId w:val="2"/>
        </w:numPr>
        <w:spacing w:after="80" w:line="290"/>
        <w:jc w:val="both"/>
      </w:pPr>
      <w:r>
        <w:rPr>
          <w:rFonts w:ascii="Times New Roman" w:cs="Times New Roman" w:eastAsia="Times New Roman" w:hAnsi="Times New Roman"/>
          <w:b/>
          <w:bCs/>
          <w:i w:val="false"/>
          <w:iCs w:val="false"/>
          <w:sz w:val="22"/>
          <w:szCs w:val="22"/>
        </w:rPr>
        <w:t xml:space="preserve">Espaces insécables : </w:t>
      </w:r>
      <w:r>
        <w:rPr>
          <w:rFonts w:ascii="Times New Roman" w:cs="Times New Roman" w:eastAsia="Times New Roman" w:hAnsi="Times New Roman"/>
          <w:b w:val="false"/>
          <w:bCs w:val="false"/>
          <w:i w:val="false"/>
          <w:iCs w:val="false"/>
          <w:sz w:val="22"/>
          <w:szCs w:val="22"/>
        </w:rPr>
        <w:t xml:space="preserve">le 25 septembre, j’avais noté que les espaces devant « : » et « ; » étaient corrects. C’était faux : ce sont des espaces ordinaires depuis la première version, ce qui peut rejeter un « : » seul en début de ligne. La correction est comprise dans ce lot.</w:t>
      </w:r>
    </w:p>
    <w:p>
      <w:pPr>
        <w:pStyle w:val="Heading1"/>
        <w:spacing w:after="120" w:before="280"/>
      </w:pPr>
      <w:r>
        <w:rPr>
          <w:rFonts w:ascii="Times New Roman" w:cs="Times New Roman" w:eastAsia="Times New Roman" w:hAnsi="Times New Roman"/>
          <w:b/>
          <w:bCs/>
          <w:i w:val="false"/>
          <w:iCs w:val="false"/>
          <w:sz w:val="30"/>
          <w:szCs w:val="30"/>
        </w:rPr>
        <w:t xml:space="preserve">4. Ce que j’ai vérifié et qui est juste</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2"/>
          <w:szCs w:val="22"/>
        </w:rPr>
        <w:t xml:space="preserve">Les comptes des cas d’utilisation : 65 cas, 37 de priorité haute, 45 métier (27 haute), 20 techniques (10 haute) ; 16 + 8 + 9 + 20 + 12 = 65 par package.</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2"/>
          <w:szCs w:val="22"/>
        </w:rPr>
        <w:t xml:space="preserve">La confrontation des 18 besoins : 6 couverts, 4 partiels, 8 hors périmètre.</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2"/>
          <w:szCs w:val="22"/>
        </w:rPr>
        <w:t xml:space="preserve">Les tests : 17 + 10 + 11 + 23 + 42 = 103 ; les 59 entités écartées (13 + 11 + 8 + 7 + 7 + 7 + 6) ; les 88 tables (tableau 7.6) ; les 29 classes (5 + 8 + 5 + 11).</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2"/>
          <w:szCs w:val="22"/>
        </w:rPr>
        <w:t xml:space="preserve">Les dix fonctions transverses du § 2.8, les neuf paramètres cliniques du § 4.3, les sept personnes du service informatique.</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2"/>
          <w:szCs w:val="22"/>
        </w:rPr>
        <w:t xml:space="preserve">La stratégie de l’OMS est bien de 2025 (publiée le 29 janvier 2025) ; la CIM-11 est bien en vigueur depuis le 1er janvier 2022 ; 47 entités portent bien une marque de suppression dans le schéma.</w:t>
      </w:r>
    </w:p>
    <w:p>
      <w:pPr>
        <w:pStyle w:val="Heading1"/>
        <w:spacing w:after="120" w:before="280"/>
      </w:pPr>
      <w:r>
        <w:rPr>
          <w:rFonts w:ascii="Times New Roman" w:cs="Times New Roman" w:eastAsia="Times New Roman" w:hAnsi="Times New Roman"/>
          <w:b/>
          <w:bCs/>
          <w:i w:val="false"/>
          <w:iCs w:val="false"/>
          <w:sz w:val="30"/>
          <w:szCs w:val="30"/>
        </w:rPr>
        <w:t xml:space="preserve">5. Les limites de cette relecture</w:t>
      </w:r>
    </w:p>
    <w:p>
      <w:pPr>
        <w:spacing w:after="120" w:line="300"/>
        <w:jc w:val="both"/>
      </w:pPr>
      <w:r>
        <w:rPr>
          <w:rFonts w:ascii="Times New Roman" w:cs="Times New Roman" w:eastAsia="Times New Roman" w:hAnsi="Times New Roman"/>
          <w:b w:val="false"/>
          <w:bCs w:val="false"/>
          <w:i w:val="false"/>
          <w:iCs w:val="false"/>
          <w:sz w:val="22"/>
          <w:szCs w:val="22"/>
        </w:rPr>
        <w:t xml:space="preserve">Je ne peux pas vérifier ce qui ne se trouve ni dans le mémoire ni dans le code : les dates de l’histoire de SARIS-CONGO, les chiffres du rapport de stage, les versions exactes des outils. Les chapitres 6 et 7 restent techniques par nature : j’ai expliqué les termes au lieu de les supprimer. Enfin, aucune relecture ne peut garantir qu’un jury ne fera aucune remarque ; elle peut seulement retirer les défauts qu’on sait voir.</w:t>
      </w:r>
    </w:p>
    <w:p>
      <w:pPr>
        <w:pStyle w:val="Heading1"/>
        <w:spacing w:after="120" w:before="280"/>
      </w:pPr>
      <w:r>
        <w:rPr>
          <w:rFonts w:ascii="Times New Roman" w:cs="Times New Roman" w:eastAsia="Times New Roman" w:hAnsi="Times New Roman"/>
          <w:b/>
          <w:bCs/>
          <w:i w:val="false"/>
          <w:iCs w:val="false"/>
          <w:sz w:val="30"/>
          <w:szCs w:val="30"/>
        </w:rPr>
        <w:t xml:space="preserve">6. Toutes les corrections, dans l’ordre du mémoire</w:t>
      </w:r>
    </w:p>
    <w:p>
      <w:pPr>
        <w:pStyle w:val="Heading2"/>
        <w:spacing w:after="120" w:before="280"/>
      </w:pPr>
      <w:r>
        <w:rPr>
          <w:rFonts w:ascii="Times New Roman" w:cs="Times New Roman" w:eastAsia="Times New Roman" w:hAnsi="Times New Roman"/>
          <w:b/>
          <w:bCs/>
          <w:i w:val="false"/>
          <w:iCs w:val="false"/>
          <w:sz w:val="26"/>
          <w:szCs w:val="26"/>
        </w:rPr>
        <w:t xml:space="preserve">DÉDICACE</w:t>
      </w:r>
    </w:p>
    <w:p>
      <w:pPr>
        <w:spacing w:after="120" w:line="300"/>
        <w:jc w:val="both"/>
      </w:pPr>
      <w:r>
        <w:rPr>
          <w:rFonts w:ascii="Times New Roman" w:cs="Times New Roman" w:eastAsia="Times New Roman" w:hAnsi="Times New Roman"/>
          <w:b/>
          <w:bCs/>
          <w:i w:val="false"/>
          <w:iCs w:val="false"/>
          <w:color w:val="1F4E79"/>
          <w:sz w:val="20"/>
          <w:szCs w:val="20"/>
        </w:rPr>
        <w:t xml:space="preserve">Faute — </w:t>
      </w:r>
      <w:r>
        <w:rPr>
          <w:rFonts w:ascii="Times New Roman" w:cs="Times New Roman" w:eastAsia="Times New Roman" w:hAnsi="Times New Roman"/>
          <w:b w:val="false"/>
          <w:bCs w:val="false"/>
          <w:i/>
          <w:iCs/>
          <w:sz w:val="20"/>
          <w:szCs w:val="20"/>
        </w:rPr>
        <w:t xml:space="preserve">Accent sur la majuscule « À » ; phrase allégée.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avons l’honneur de dédier ce projet de fin d’études à nos familles qui nous ont soutenus sans relâche tout au long de ce parcours universitaire. À nos parents, qui ont cru en nous dès le début et qui nous ont apporté leur amour inconditionnel, leur encouragement et leur soutien financier. A nos frères et sœurs, qui ont été là pour nous dans les moments difficiles et qui ont partagé notre enthousiasme dans les moments de réussite.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avons l’honneur de dédier ce projet de fin d’études à nos familles, qui nous ont soutenus sans relâche tout au long de ce parcours universitaire. À nos parents, qui ont cru en nous dès le début et nous ont apporté leur amour inconditionnel, leurs encouragements et leur soutien financier. À nos frères et sœurs, qui ont été là dans les moments difficiles et ont partagé notre joie dans les moments de réussite.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Faute — </w:t>
      </w:r>
      <w:r>
        <w:rPr>
          <w:rFonts w:ascii="Times New Roman" w:cs="Times New Roman" w:eastAsia="Times New Roman" w:hAnsi="Times New Roman"/>
          <w:b w:val="false"/>
          <w:bCs w:val="false"/>
          <w:i/>
          <w:iCs/>
          <w:sz w:val="20"/>
          <w:szCs w:val="20"/>
        </w:rPr>
        <w:t xml:space="preserve">« avec patient » au lieu de « avec patience » ; « guidance » est un anglicisme ; passage du « ils » au « vous » dans la même phrase.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dédions également ce travail à nos professeurs et mentors qui ont nourri notre passion pour ce domaine et nous ont transmis leur expertise avec patient et diligence. Votre guidance et vos conseils nous ont été précieux tout au long de ce processus et nous ne pourrions pas être là où nous en sommes aujourd’hui sans votre soutien.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dédions également ce travail à nos professeurs et à nos mentors, qui ont nourri notre passion pour ce domaine et nous ont transmis leur savoir avec patience et rigueur. Leurs orientations et leurs conseils nous ont été précieux tout au long de ce parcours ; sans leur soutien, nous ne serions pas là où nous en sommes aujourd’hui.</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Les deux derniers paragraphes redisaient la même idée ; « fin d’étude » s’écrit « fin d’études » ; « de près ou de loin » revient aussi dans les remerciements.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Enfin, nous dédions ce projet de fin d’étude à tous ceux qui ont contribué de près ou de loin à notre formation académique.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Enfin, nous dédions ce travail à toutes celles et à tous ceux qui nous ont aidés, de quelque manière que ce soit, à atteindre cet objectif. Puisse-t-il refléter notre reconnaissance envers chacun d’eux.</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Fusionné avec le paragraphe précédent.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espérons que ce travail reflète notre reconnaissance pour toutes les personnes qui ont joué un rôle dans notre parcours académique et qui nous ont aidés à atteindre cet objectif.</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REMERCIEMENTS</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Passage du « il » au « vous » dans le même paragraphe : on garde la 3e personne partout.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exprimons ensuite notre reconnaissance au Colonel EKONDZI Alain, pour son soutien indéfectible, sa confiance renouvelée et son implication active dans notre évolution. Votre accompagnement a été une source précieuse de motivation et d’encouragement.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exprimons ensuite notre reconnaissance au Colonel EKONDZI Alain, pour son soutien indéfectible, sa confiance renouvelée et son implication active dans notre évolution. Son accompagnement a été pour nous une source précieuse de motivation et d’encouragement.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Faute — </w:t>
      </w:r>
      <w:r>
        <w:rPr>
          <w:rFonts w:ascii="Times New Roman" w:cs="Times New Roman" w:eastAsia="Times New Roman" w:hAnsi="Times New Roman"/>
          <w:b w:val="false"/>
          <w:bCs w:val="false"/>
          <w:i/>
          <w:iCs/>
          <w:sz w:val="20"/>
          <w:szCs w:val="20"/>
        </w:rPr>
        <w:t xml:space="preserve">« A monsieur » → « À Monsieur » ; « fin d’étude » → « fin d’études » ; même personne grammaticale que le reste.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 monsieur Roch Corneille NGOUBOU, nous tenons à vous exprimer notre profonde gratitude pour votre soutien et votre encadrement tout au long de ce projet de fin d’étude. Nous sommes reconnaissants pour le temps que vous avez consacré à notre formation.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À Monsieur Roch Corneille NGOUBOU, nous exprimons notre profonde gratitude pour son soutien et son encadrement tout au long de ce projet de fin d’études. Nous lui sommes reconnaissants du temps qu’il a consacré à notre formation.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Faute — </w:t>
      </w:r>
      <w:r>
        <w:rPr>
          <w:rFonts w:ascii="Times New Roman" w:cs="Times New Roman" w:eastAsia="Times New Roman" w:hAnsi="Times New Roman"/>
          <w:b w:val="false"/>
          <w:bCs w:val="false"/>
          <w:i/>
          <w:iCs/>
          <w:sz w:val="20"/>
          <w:szCs w:val="20"/>
        </w:rPr>
        <w:t xml:space="preserve">« A La Direction » → « À la Direction » ; les phrases sans verbe deviennent une énumération régulière.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 La Direction du Centre Médico-Sanitaire de SARIS-CONGO, pour avoir accordé l’accès aux informations nécessaires à la réalisation de cette étude. Le Médecin Chef et l’ensemble du personnel médical et administratif du centre, pour le temps consacré aux entretiens et pour la qualité des échanges. Le responsable du service informatique M. MAFOUMBI PAWEL, pour son accompagnement sur les aspects techniques.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À la Direction du Centre Médico-Sanitaire de SARIS-CONGO, pour nous avoir donné accès aux informations nécessaires à cette étude. Au Médecin Chef et à l’ensemble du personnel médical et administratif du centre, pour le temps consacré aux entretiens et pour la qualité des échanges. Au responsable du service informatique, M. MAFOUMBI PAWEL, pour son accompagnement sur les aspects techniques.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Faute — </w:t>
      </w:r>
      <w:r>
        <w:rPr>
          <w:rFonts w:ascii="Times New Roman" w:cs="Times New Roman" w:eastAsia="Times New Roman" w:hAnsi="Times New Roman"/>
          <w:b w:val="false"/>
          <w:bCs w:val="false"/>
          <w:i/>
          <w:iCs/>
          <w:sz w:val="20"/>
          <w:szCs w:val="20"/>
        </w:rPr>
        <w:t xml:space="preserve">« A L’ensemble » → « À l’ensemble » ; énumération régulière ; la dernière phrase ne redit plus la première.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 L’ensemble du corps enseignant du CFI-CIRAS, pour la qualité de la formation dispensée durant notre cycle de licence. Nos familles respectives, pour leur soutien moral et matériel constant tout au long de ce parcours. Nos camarades de promotion, pour la solidarité et l’entraide qui ont marqué ces années d’études. À toutes ces personnes, nous adressons nos sincères et chaleureux remerciements.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À l’ensemble du corps enseignant du CFI-CIRAS, pour la qualité de la formation reçue durant notre cycle de licence. À nos familles, pour leur soutien moral et matériel constant. À nos camarades de promotion, pour la solidarité et l’entraide qui ont marqué ces années d’études. À toutes et à tous, nous adressons nos sincères et chaleureux remerciements.</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RÉSUMÉ</w:t>
      </w:r>
    </w:p>
    <w:p>
      <w:pPr>
        <w:spacing w:after="120" w:line="300"/>
        <w:jc w:val="both"/>
      </w:pPr>
      <w:r>
        <w:rPr>
          <w:rFonts w:ascii="Times New Roman" w:cs="Times New Roman" w:eastAsia="Times New Roman" w:hAnsi="Times New Roman"/>
          <w:b/>
          <w:bCs/>
          <w:i w:val="false"/>
          <w:iCs w:val="false"/>
          <w:color w:val="1F4E79"/>
          <w:sz w:val="20"/>
          <w:szCs w:val="20"/>
        </w:rPr>
        <w:t xml:space="preserve">Honnêteté — </w:t>
      </w:r>
      <w:r>
        <w:rPr>
          <w:rFonts w:ascii="Times New Roman" w:cs="Times New Roman" w:eastAsia="Times New Roman" w:hAnsi="Times New Roman"/>
          <w:b w:val="false"/>
          <w:bCs w:val="false"/>
          <w:i/>
          <w:iCs/>
          <w:sz w:val="20"/>
          <w:szCs w:val="20"/>
        </w:rPr>
        <w:t xml:space="preserve">« gérait auparavant » laisse croire que le système est déjà en service au centre ; or le § 7.7 et la conclusion disent le contraire.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Dans un contexte où la connectivité peut être intermittente, la gestion informatisée des données médicales constitue un enjeu important pour assurer la continuité des soins. Le Centre Médico-Sanitaire (CMS) de SARIS-CONGO, réparti sur les sites de Moutela et de Nkayi, gérait auparavant ses informations médicales principalement sur support papier et à l’aide de tableurs locaux. Cette organisation entraînait notamment l’absence de dossier patient unifié, la consolidation manuelle des données et des difficultés d’accès à l’information entre les deux sites. Ce travail porte ainsi sur la conception et la réalisation d’un système de gestion des consultations et des dossiers médicaux adapté aux contraintes du centre. La démarche adoptée repose sur le processus 2TUP couplé au langage UML, à partir d’un recueil de l’existant et de dix-huit besoins identifiés lors des entretiens. La solution réalisée permet de centraliser le dossier patient, d’assurer la traçabilité des actes, d’appliquer les règles de prise en charge selon la catégorie du patient et de maintenir le fonctionnement du système hors connexion grâce à des mécanismes de synchronisation. L’implémentation couvre vingt-deux des vingt-trois besoins fonctionnels de manière complète, tandis que certaines validations, notamment celles du cœur clinique et du fonctionnement autonome hors connexion, restent à approfondir.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Dans un contexte où la connectivité peut être intermittente, la gestion informatisée des données médicales constitue un enjeu important pour assurer la continuité des soins. Le Centre Médico-Sanitaire (CMS) de SARIS-CONGO, réparti sur les sites de Moutela et de Nkayi, gère ses informations médicales principalement sur support papier et à l’aide de tableurs locaux. Cette organisation entraîne l’absence de dossier patient unifié, la consolidation manuelle des données et des difficultés d’accès à l’information entre les deux sites. Ce travail porte ainsi sur la conception et la réalisation d’un système de gestion des consultations et des dossiers médicaux adapté aux contraintes du centre. La démarche adoptée repose sur le processus 2TUP couplé au langage UML, à partir d’un recueil de l’existant et de dix-huit besoins identifiés lors des entretiens. La solution réalisée permet de centraliser le dossier patient, d’assurer la traçabilité des actes, d’appliquer les règles de prise en charge selon la catégorie du patient et de maintenir le fonctionnement du système hors connexion grâce à des mécanismes de synchronisation. L’implémentation couvre vingt-deux des vingt-trois besoins fonctionnels de manière complète, tandis que certaines validations, notamment celles du cœur clinique et du fonctionnement autonome hors connexion, restent à approfondir.</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ABSTRACT</w:t>
      </w:r>
    </w:p>
    <w:p>
      <w:pPr>
        <w:spacing w:after="120" w:line="300"/>
        <w:jc w:val="both"/>
      </w:pPr>
      <w:r>
        <w:rPr>
          <w:rFonts w:ascii="Times New Roman" w:cs="Times New Roman" w:eastAsia="Times New Roman" w:hAnsi="Times New Roman"/>
          <w:b/>
          <w:bCs/>
          <w:i w:val="false"/>
          <w:iCs w:val="false"/>
          <w:color w:val="1F4E79"/>
          <w:sz w:val="20"/>
          <w:szCs w:val="20"/>
        </w:rPr>
        <w:t xml:space="preserve">Honnêteté — </w:t>
      </w:r>
      <w:r>
        <w:rPr>
          <w:rFonts w:ascii="Times New Roman" w:cs="Times New Roman" w:eastAsia="Times New Roman" w:hAnsi="Times New Roman"/>
          <w:b w:val="false"/>
          <w:bCs w:val="false"/>
          <w:i/>
          <w:iCs/>
          <w:sz w:val="20"/>
          <w:szCs w:val="20"/>
        </w:rPr>
        <w:t xml:space="preserve">Même correction dans la version anglaise.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In a context where connectivity may be intermittent, the computerized management of medical data is an important issue for ensuring continuity of care. The Medical Centre of SARIS-CONGO, operating across the Moutela and Nkayi sites, previously managed its medical information mainly on paper and through local spreadsheets. This organization resulted in the absence of a unified patient record, manual data consolidation, and difficulties in accessing information across the two sites. This work focuses on the design and implementation of a consultation and medical records management system adapted to the centre’s operational constraints. The adopted approach is based on the 2TUP process coupled with the UML language, using an analysis of the existing situation and eighteen needs identified through field interviews. The resulting solution centralizes patient records, ensures traceability of medical activities, applies patient-category eligibility rules, and enables the system to operate without network connectivity through synchronization mechanisms. The implementation fully covers twenty-two of the twenty-three identified functional requirements, while some validation aspects, particularly those concerning the clinical core and autonomous offline operation, still require further testing.</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In a context where connectivity may be intermittent, the computerized management of medical data is an important issue for ensuring continuity of care. The Medical Centre of SARIS-CONGO, operating across the Moutela and Nkayi sites, manages its medical information mainly on paper and through local spreadsheets. This organization results in the absence of a unified patient record, manual data consolidation, and difficulties in accessing information across the two sites. This work focuses on the design and implementation of a consultation and medical records management system adapted to the centre’s operational constraints. The adopted approach is based on the 2TUP process coupled with the UML language, using an analysis of the existing situation and eighteen needs identified through field interviews. The resulting solution centralizes patient records, ensures traceability of medical activities, applies patient-category eligibility rules, and enables the system to operate without network connectivity through synchronization mechanisms. The implementation fully covers twenty-two of the twenty-three identified functional requirements, while some validation aspects, particularly those concerning the clinical core and autonomous offline operation, still require further testing.</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Orthographe américaine partout ailleurs dans le résumé anglais.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Keywords: electronic medical records, consultation management, offline-first, data synchronisation, 2TUP.</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Keywords: electronic medical records, consultation management, offline-first, data synchronization, 2TUP.</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INTRODUCTION GÉNÉRALE</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L’un des deux outils tableur avait été abandonné (tableau 4.8) : il n’était plus « en usage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Avant ce projet, la gestion reposait sur le papier et le tableur. Les entretiens de terrain ont établi trois constats. Aucun système ne reliait les deux sites : le Médecin Chef consolidait les données à la main. La règle de prise en charge reposait sur un contrôle visuel du badge, donc sur la seule vigilance de l’agent. Enfin, les deux outils informatiques en usage avaient échoué : ils perdaient leurs données à chaque fermeture.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Avant ce projet, la gestion reposait sur le papier et le tableur. Les entretiens de terrain ont établi trois constats. Aucun système ne reliait les deux sites : le Médecin Chef consolidait les données à la main. La règle de prise en charge reposait sur un contrôle visuel du badge, donc sur la seule vigilance de l’agent. Enfin, deux outils tableur avaient échoué : ils perdaient leurs données à chaque fermeture.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même phrase revenait au § 4.3 et en conclusion du ch. 4 : formulation variée ici.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centre disposait pourtant d’un processus formalisé en quatre étapes : il lui manquait l’outil pour l’appliquer et en garder trace. D’où la question centrale de ce travail : comment concevoir et réaliser un système qui tienne un dossier unique par patient sur les deux sites, applique sans erreur les règles de prise en charge, garde la trace de chaque acte et continue de fonctionner sans réseau ?</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centre avait pourtant une méthode : un processus écrit, en quatre étapes. Il lui manquait l’outil pour l’appliquer et en garder la trace. D’où la question centrale de ce travail : comment concevoir et réaliser un système qui tienne un dossier unique par patient sur les deux sites, applique sans erreur les règles de prise en charge, garde la trace de chaque acte et continue de fonctionner sans réseau ?</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de 56 mots ; « le Y » n’est pas encore expliqué à ce stade.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mémoire compte deux parties. La Partie I, « Cadre contextuel et domaine d’étude », présente la structure d’accueil, puis le domaine d’étude et le périmètre retenu. La Partie II, « Analyse, conception et réalisation selon 2TUP couplé à UML », compte cinq chapitres organisés selon les deux branches du Y : la méthodologie, puis la branche fonctionnelle avec l’étude de l’existant et l’analyse des besoins, la branche technique avec l’architecture du système, et enfin leur convergence dans la conception détaillée et l’implémentation.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mémoire compte deux parties. La Partie I, « Cadre contextuel et domaine d’étude », présente la structure d’accueil, puis le domaine d’étude et le périmètre retenu. La Partie II, « Analyse, conception et réalisation selon 2TUP couplé à UML », compte cinq chapitres, organisés selon les deux branches du cycle en Y de 2TUP. On y trouve la méthodologie, puis la branche fonctionnelle (étude de l’existant et analyse des besoins), la branche technique (architecture du système) et enfin leur convergence (conception détaillée et implémentation).</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1 — PRÉSENTATION DE LA STRUCTURE D’ACCUEIL</w:t>
      </w:r>
    </w:p>
    <w:p>
      <w:pPr>
        <w:spacing w:after="120" w:line="300"/>
        <w:jc w:val="both"/>
      </w:pPr>
      <w:r>
        <w:rPr>
          <w:rFonts w:ascii="Times New Roman" w:cs="Times New Roman" w:eastAsia="Times New Roman" w:hAnsi="Times New Roman"/>
          <w:b/>
          <w:bCs/>
          <w:i/>
          <w:iCs/>
          <w:sz w:val="20"/>
          <w:szCs w:val="20"/>
        </w:rPr>
        <w:t xml:space="preserve">1.2 Le Service Médico-Social et ses missions</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Les six pôles étaient énumérés ici puis de nouveau au § 1.4.</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Sa mission recouvre deux volets, portés par deux entités distinctes. Le Centre Médico-Sanitaire assure les soins médicaux : consultation, pharmacie, laboratoire, radiologie, kinésithérapie et maternité. La Section des Affaires Sociales traite les aspects administratifs et sociaux : évacuations sanitaires, remboursements et accidents de travail.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Sa mission recouvre deux volets, portés par deux entités distinctes. Le Centre Médico-Sanitaire assure les soins médicaux, répartis en six pôles (§ 1.4). La Section des Affaires Sociales traite les aspects administratifs et sociaux : évacuations sanitaires, remboursements et accidents de travail.</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Le recueil documente une pratique qui en tient compte » : tournure abstraite.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rattachement fait de l’employeur l’exploitant du centre de soins. Le recueil documente une pratique qui en tient compte : le service des ressources humaines reçoit les informations administratives — repos, accidents, évacuations — sans accès au dossier médical.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rattachement fait de l’employeur l’exploitant du centre de soins. Le centre en tient compte : le service des ressources humaines reçoit les informations administratives — repos, accidents, évacuations — sans accès au dossier médical.</w:t>
      </w:r>
    </w:p>
    <w:p>
      <w:pPr>
        <w:spacing w:after="80"/>
      </w:pPr>
    </w:p>
    <w:p>
      <w:pPr>
        <w:spacing w:after="120" w:line="300"/>
        <w:jc w:val="both"/>
      </w:pPr>
      <w:r>
        <w:rPr>
          <w:rFonts w:ascii="Times New Roman" w:cs="Times New Roman" w:eastAsia="Times New Roman" w:hAnsi="Times New Roman"/>
          <w:b/>
          <w:bCs/>
          <w:i/>
          <w:iCs/>
          <w:sz w:val="20"/>
          <w:szCs w:val="20"/>
        </w:rPr>
        <w:t xml:space="preserve">1.3 La population couverte par le centre</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Le mémoire distingue neuf STATUTS (ch. 1) et cinq CATÉGORIES (§ 2.5) : il faut garder ces deux mots distincts.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centre soigne neuf catégories de personnes, ce qui déborde largement le seul personnel de l’entreprise.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centre soigne des patients de neuf statuts différents, bien au-delà du seul personnel de l’entreprise.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Même distinction statut / catégorie dans la légende.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Tableau 1.2 — Les neuf catégories de personnes prises en charge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Tableau 1.2 — Les neuf statuts de patients pris en charge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règle de prise en charge et la refacturation étaient dites ici puis redites mot pour mot au § 2.5.</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 présence des riverains est un fait notable : le centre n’est pas réservé aux salariés, il soigne aussi les habitants de son environnement. Cela le distingue d’un service de médecine du travail et justifie son nom de centre médico-sanitaire. La prise en charge n’est pas uniforme pour autant. Selon le recueil, la prise en charge complète, médicaments et bons d’examens compris, est réservée au personnel en contrat à durée indéterminée et à ses ayants droit directs.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présence des riverains est un fait notable : le centre n’est pas réservé aux salariés, il soigne aussi les habitants de son voisinage. Cela le distingue d’un service de médecine du travail et justifie son nom de centre médico-sanitaire.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Rappel court ; le détail (et la refacturation) reste au § 2.5.</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Pour les autres statuts, les soins sont assurés puis refacturés à la société employeuse ou à l’assurance du patient. Cette règle, centrale pour le système, est détaillée au § 2.5.</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Tous ces patients sont soignés, mais tous ne bénéficient pas de la même prise en charge financière. Selon le recueil, seuls le personnel en contrat à durée indéterminée et ses ayants droit voient leurs médicaments et leurs examens pris en charge. Le § 2.5 détaille cette règle, centrale pour le système.</w:t>
      </w:r>
    </w:p>
    <w:p>
      <w:pPr>
        <w:spacing w:after="80"/>
      </w:pPr>
    </w:p>
    <w:p>
      <w:pPr>
        <w:spacing w:after="120" w:line="300"/>
        <w:jc w:val="both"/>
      </w:pPr>
      <w:r>
        <w:rPr>
          <w:rFonts w:ascii="Times New Roman" w:cs="Times New Roman" w:eastAsia="Times New Roman" w:hAnsi="Times New Roman"/>
          <w:b/>
          <w:bCs/>
          <w:i/>
          <w:iCs/>
          <w:sz w:val="20"/>
          <w:szCs w:val="20"/>
        </w:rPr>
        <w:t xml:space="preserve">1.4 Organisation structurelle du service</w:t>
      </w: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Espace en trop à la fin du titre.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1.4 Organisation structurelle du service </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1.4 Organisation structurelle du service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il donne naissance aux deux entités » : image inexacte.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Rattaché à la direction, il donne naissance aux deux entités opérationnelles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Rattaché à la direction, il regroupe les deux entités opérationnelles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Sigle — </w:t>
      </w:r>
      <w:r>
        <w:rPr>
          <w:rFonts w:ascii="Times New Roman" w:cs="Times New Roman" w:eastAsia="Times New Roman" w:hAnsi="Times New Roman"/>
          <w:b w:val="false"/>
          <w:bCs w:val="false"/>
          <w:i/>
          <w:iCs/>
          <w:sz w:val="20"/>
          <w:szCs w:val="20"/>
        </w:rPr>
        <w:t xml:space="preserve">« RH » n’est pas dans la liste des sigles.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Responsable RH</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Responsable des ressources humaines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cette surcharge administrative » n’avait pas d’antécédent clair.</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Médecin Chef dirige le Service Médico-Social et gère directement le Centre Médico-Sanitaire, tout en assurant son activité clinique. Selon le recueil, cette surcharge administrative est son principal point de tension. C’est elle qui motive la délégation de tâches à des infirmiers formés, décrite au chapitre 2.</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Médecin Chef dirige le Service Médico-Social et gère directement le Centre Médico-Sanitaire, tout en soignant lui-même des patients. Selon le recueil, cette double charge, administrative et clinique, est son principal point de tension. C’est elle qui l’a conduit à déléguer certaines tâches à des infirmiers formés, comme le décrit le chapitre 2.</w:t>
      </w:r>
    </w:p>
    <w:p>
      <w:pPr>
        <w:spacing w:after="80"/>
      </w:pPr>
    </w:p>
    <w:p>
      <w:pPr>
        <w:spacing w:after="120" w:line="300"/>
        <w:jc w:val="both"/>
      </w:pPr>
      <w:r>
        <w:rPr>
          <w:rFonts w:ascii="Times New Roman" w:cs="Times New Roman" w:eastAsia="Times New Roman" w:hAnsi="Times New Roman"/>
          <w:b/>
          <w:bCs/>
          <w:i/>
          <w:iCs/>
          <w:sz w:val="20"/>
          <w:szCs w:val="20"/>
        </w:rPr>
        <w:t xml:space="preserve">1.5 Des fonctions réelles aux usages du système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difficile à suivre (fonctions / rôles) ; « médecin chef » en minuscules.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centre compte davantage de fonctions que le système ne reconnaît de rôles. Quatre d’entre elles y accèdent, avec trois rôles techniques seulement : le médecin et le médecin chef ont les mêmes droits, mais n’en font pas le même usage. Les deux autres restent hors du système. Le tableau ci-dessous dit lesquelles, et pourquoi.</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centre compte six fonctions, mais le système ne connaît que trois rôles. Quatre fonctions utilisent le système : le médecin et le Médecin Chef y ont le même rôle et les mêmes droits, mais ne s’en servent pas de la même façon. Les deux autres fonctions restent hors du système. Le tableau 1.4 précise lesquelles, et pourquoi.</w:t>
      </w:r>
    </w:p>
    <w:p>
      <w:pPr>
        <w:spacing w:after="80"/>
      </w:pPr>
    </w:p>
    <w:p>
      <w:pPr>
        <w:spacing w:after="120" w:line="300"/>
        <w:jc w:val="both"/>
      </w:pPr>
      <w:r>
        <w:rPr>
          <w:rFonts w:ascii="Times New Roman" w:cs="Times New Roman" w:eastAsia="Times New Roman" w:hAnsi="Times New Roman"/>
          <w:b/>
          <w:bCs/>
          <w:i/>
          <w:iCs/>
          <w:sz w:val="20"/>
          <w:szCs w:val="20"/>
        </w:rPr>
        <w:t xml:space="preserve">1.6 Ressources et chiffres caractéristiques</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rotation du personnel entre les sites était redite ici (déjà au § 1.4, puis au ch. 2).</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personnel médical comprend un Médecin Chef, au moins un autre médecin et des infirmières, dont certaines sont formées à la délégation de prescription ; il tourne entre les deux sites.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personnel médical comprend un Médecin Chef, au moins un autre médecin et des infirmières, dont certaines sont formées à la délégation de prescription. Chaque site dispose de sa pharmacienne, qui gère son stock et ses rapports. Un gestionnaire assure les ressources humaines et le service social. L’équipement couvre les six pôles, et l’approvisionnement pharmaceutique repose sur un fournisseur unique, à un rythme trimestriel.</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principal point d’accès » puis « seul recours » : légère contradiction ; « accès aux soins » deux fois.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rapport de stage apporte une précision qui compte. Dans un pays où l’accès aux soins reste un défi majeur, le centre est, pour de nombreuses familles d’agents, le principal point d’accès aux soins médicaux. L’enjeu du projet n’est donc pas d’optimiser un service de médecine du travail, mais d’outiller une structure qui est, pour une part de la population, le seul recours médical accessible.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rapport de stage apporte une précision importante. Dans un pays où l’accès aux soins reste difficile, le centre est, pour de nombreuses familles d’agents, le principal, parfois le seul, recours médical. L’enjeu du projet n’est donc pas d’optimiser un service de médecine du travail, mais d’outiller une structure dont une partie de la population dépend pour se soigner.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Phrases allégées ; même contenu.</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ne disposons ni des effectifs par fonction et par site, ni des volumes d’activité — nombre de consultations, répartition entre les sites, proportion de chaque statut (§ 4.1). La raison est elle-même un constat : le Médecin Chef produit les statistiques à la main, en agrégeant les données des deux sites, ce qui rend toute consolidation trop coûteuse pour être menée à la demande.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ne disposons ni des effectifs par fonction et par site, ni des volumes d’activité : nombre de consultations, répartition entre les sites, part de chaque statut (§ 4.1). Cette absence est elle-même un constat : comme le Médecin Chef produit les statistiques à la main, en agrégeant les données des deux sites, toute consolidation est trop coûteuse pour être faite à la demande.</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Statut et non catégorie (voir § 2.5).</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Service Médico-Social de SARIS-CONGO est un service interne, rattaché à la Direction des Ressources Humaines et dirigé par le Médecin Chef. Il réunit la Section des Affaires Sociales et le Centre Médico-Sanitaire. Ce dernier couvre six pôles de compétences et soigne neuf catégories de personnes, selon des règles de prise en charge différenciées, sur deux sites entre lesquels le personnel tourne sans système d’information partagé.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Service Médico-Social de SARIS-CONGO est un service interne, rattaché à la Direction des Ressources Humaines et dirigé par le Médecin Chef. Il réunit la Section des Affaires Sociales et le Centre Médico-Sanitaire. Ce dernier couvre six pôles de compétences et soigne des patients de neuf statuts, selon des règles de prise en charge différenciées, sur deux sites entre lesquels le personnel tourne sans système d’information partagé.</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2 — DOMAINE D’ÉTUDE : LE SYSTÈME D’INFORMATION MÉDICAL</w:t>
      </w:r>
    </w:p>
    <w:p>
      <w:pPr>
        <w:spacing w:after="120" w:line="300"/>
        <w:jc w:val="both"/>
      </w:pPr>
      <w:r>
        <w:rPr>
          <w:rFonts w:ascii="Times New Roman" w:cs="Times New Roman" w:eastAsia="Times New Roman" w:hAnsi="Times New Roman"/>
          <w:b/>
          <w:bCs/>
          <w:i/>
          <w:iCs/>
          <w:sz w:val="20"/>
          <w:szCs w:val="20"/>
        </w:rPr>
        <w:t xml:space="preserve">2.1 Contexte du projet</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Le § 2.1 répétait le ch. 1 mot pour mot : un rappel d’une phrase suffit.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Centre Médico-Sanitaire soigne neuf catégories de personnes, du travailleur permanent au riverain, sur deux sites, Moutela et Nkayi, entre lesquels le personnel tourne selon un planning de permutation.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chapitre 1 a présenté le centre : des patients de neuf statuts, deux sites et un personnel qui tourne entre eux.</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un système qui viendrait la prendre en charge » : « la » est ambigu ; virgule inutile avant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L’étude de l’existant, au chapitre 4, établira l’état de cette organisation avant le projet : aucun système d’information médical, un carnet de santé papier pour seul lien entre les étapes du soin, et deux sites sans lien informatique. Ce chapitre décrit ce que le domaine exige d’un système qui viendrait la prendre en charge.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L’étude de l’existant, au chapitre 4, établira l’état de cette organisation avant le projet : aucun système d’information médical, un carnet de santé papier pour seul lien entre les étapes du soin et deux sites sans lien informatique. Ce chapitre décrit ce que le domaine médical exige d’un futur système.</w:t>
      </w:r>
    </w:p>
    <w:p>
      <w:pPr>
        <w:spacing w:after="80"/>
      </w:pPr>
    </w:p>
    <w:p>
      <w:pPr>
        <w:spacing w:after="120" w:line="300"/>
        <w:jc w:val="both"/>
      </w:pPr>
      <w:r>
        <w:rPr>
          <w:rFonts w:ascii="Times New Roman" w:cs="Times New Roman" w:eastAsia="Times New Roman" w:hAnsi="Times New Roman"/>
          <w:b/>
          <w:bCs/>
          <w:i/>
          <w:iCs/>
          <w:sz w:val="20"/>
          <w:szCs w:val="20"/>
        </w:rPr>
        <w:t xml:space="preserve">2.2 Problématique</w:t>
      </w:r>
    </w:p>
    <w:p>
      <w:pPr>
        <w:spacing w:after="120" w:line="300"/>
        <w:jc w:val="both"/>
      </w:pPr>
      <w:r>
        <w:rPr>
          <w:rFonts w:ascii="Times New Roman" w:cs="Times New Roman" w:eastAsia="Times New Roman" w:hAnsi="Times New Roman"/>
          <w:b/>
          <w:bCs/>
          <w:i w:val="false"/>
          <w:iCs w:val="false"/>
          <w:color w:val="1F4E79"/>
          <w:sz w:val="20"/>
          <w:szCs w:val="20"/>
        </w:rPr>
        <w:t xml:space="preserve">Ponctuation — </w:t>
      </w:r>
      <w:r>
        <w:rPr>
          <w:rFonts w:ascii="Times New Roman" w:cs="Times New Roman" w:eastAsia="Times New Roman" w:hAnsi="Times New Roman"/>
          <w:b w:val="false"/>
          <w:bCs w:val="false"/>
          <w:i/>
          <w:iCs/>
          <w:sz w:val="20"/>
          <w:szCs w:val="20"/>
        </w:rPr>
        <w:t xml:space="preserve">Les quatre conditions étaient des phrases sans verbe, dont une commençant par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contexte pose une question centrale. Comment concevoir et réaliser un système de gestion des consultations et des dossiers médicaux qui remplisse quatre conditions à la fois ? Tenir un seul dossier par patient sur les deux sites. Appliquer sans erreur les règles de prise en charge par catégorie. Garder la trace de chaque acte. Et continuer de fonctionner sans connexion réseau.</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contexte pose une question centrale : comment concevoir et réaliser un système de gestion des consultations et des dossiers médicaux qui remplisse quatre conditions à la fois ? Il doit tenir un seul dossier par patient sur les deux sites, appliquer sans erreur les règles de prise en charge par catégorie, garder la trace de chaque acte et continuer de fonctionner sans connexion réseau.</w:t>
      </w:r>
    </w:p>
    <w:p>
      <w:pPr>
        <w:spacing w:after="80"/>
      </w:pPr>
    </w:p>
    <w:p>
      <w:pPr>
        <w:spacing w:after="120" w:line="300"/>
        <w:jc w:val="both"/>
      </w:pPr>
      <w:r>
        <w:rPr>
          <w:rFonts w:ascii="Times New Roman" w:cs="Times New Roman" w:eastAsia="Times New Roman" w:hAnsi="Times New Roman"/>
          <w:b/>
          <w:bCs/>
          <w:i/>
          <w:iCs/>
          <w:sz w:val="20"/>
          <w:szCs w:val="20"/>
        </w:rPr>
        <w:t xml:space="preserve">2.3 Les acteurs du suivi médical</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groupe de supervision » n’est défini nulle part ; « cloisonnement par initiateur » expliqué simplement.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principes d’organisation se lisent dans ce tableau. Le premier est le cloisonnement par initiateur : un infirmier ne voit que l’activité qu’il a lui-même conduite et, dans l’historique d’un patient, n’accède qu’à la visite en cours. Seul le groupe de supervision dispose d’une vue complète.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principes d’organisation se lisent dans ce tableau. Le premier est le cloisonnement par initiateur : chaque infirmier ne voit que les consultations qu’il a lui-même conduites et, dans l’historique d’un patient, seulement la visite en cours. Seuls le Médecin Chef et l’administrateur système ont une vue complète.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Médecin Chef » s’écrit avec majuscules partout ailleurs (31 fois).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second est la délégation de prescription. L’infirmier possède les droits techniques de prescrire, mais l’acte n’est autorisé que si une délégation active, accordée par le médecin chef, couvre la date du jour. La délégation utilisée est enregistrée sur l’ordonnance : la responsabilité reste imputable après coup.</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second est la délégation de prescription. L’infirmier possède les droits techniques de prescrire, mais l’acte n’est autorisé que si une délégation active, accordée par le Médecin Chef, couvre la date du jour. La délégation utilisée est enregistrée sur l’ordonnance : la responsabilité reste imputable après coup.</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2e moitié (soignant privé de ce qu’il avait constaté) redisait le § 1.4 et n’avait pas sa place dans la section sur les acteurs.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organisation traduit une hiérarchie médicale réelle : l’infirmier traite les cas simples sous la responsabilité du médecin, sans que cette responsabilité se dilue. Un autre fait éclaire notre conception : comme le personnel tourne entre les sites, un soignant peut recevoir à Nkayi un patient examiné la semaine précédente à Moutela, sans disposer du dossier. Le manque d’information pénalisait donc le patient, mais aussi le soignant, privé de ce qu’il avait lui-même constaté.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organisation traduit une hiérarchie médicale réelle : l’infirmier traite les cas simples sous la responsabilité du médecin, sans que cette responsabilité se perde.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Tournure lourde.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caractéristiques des utilisateurs comptent enfin. Le poste d’accueil subit le plus de coupures, et l’agent qui le tient a une aisance très variable avec l’informatique. Le fonctionnement hors connexion doit donc garantir d’abord l’enregistrement des arrivées, et l’interface doit parler le langage du métier plutôt que celui du système.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caractéristiques des utilisateurs comptent enfin. Le poste d’accueil subit le plus de coupures, et les agents qui l’occupent sont plus ou moins à l’aise avec l’informatique. Le fonctionnement hors connexion doit donc garantir d’abord l’enregistrement des arrivées, et l’interface doit parler le langage du métier plutôt que celui du système.</w:t>
      </w:r>
    </w:p>
    <w:p>
      <w:pPr>
        <w:spacing w:after="80"/>
      </w:pPr>
    </w:p>
    <w:p>
      <w:pPr>
        <w:spacing w:after="120" w:line="300"/>
        <w:jc w:val="both"/>
      </w:pPr>
      <w:r>
        <w:rPr>
          <w:rFonts w:ascii="Times New Roman" w:cs="Times New Roman" w:eastAsia="Times New Roman" w:hAnsi="Times New Roman"/>
          <w:b/>
          <w:bCs/>
          <w:i/>
          <w:iCs/>
          <w:sz w:val="20"/>
          <w:szCs w:val="20"/>
        </w:rPr>
        <w:t xml:space="preserve">2.4 Le fonctionnement sur deux sites</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distance et la rotation étaient redites une 4e fois.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centre fonctionne sur deux sites distants d’une quinzaine de kilomètres, entre lesquels le personnel tourne sans affectation fixe. Cette configuration pose trois problèmes. L’identité : un même travailleur peut être vu sur les deux sites ; sans dossier unique, il existe deux fois, avec deux historiques partiels. La synchronisation : toute donnée saisie sur un site doit devenir visible sur l’autre, sans ressaisie ni divergence. La connectivité : faute de liaison fiable et permanente entre les sites, un système exigeant une connexion continue serait inutilisable.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fonctionnement sur deux sites pose trois problèmes. L’identité : un même travailleur peut être vu sur les deux sites ; sans dossier unique, il existe deux fois, avec deux historiques partiels. La synchronisation : toute donnée saisie sur un site doit devenir visible sur l’autre, sans ressaisie ni divergence. La connectivité : faute de liaison fiable et permanente entre les sites, un système qui exige une connexion continue serait inutilisable.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détenir la donnée n’est pas y avoir accès : les droits s’appliquent à la lecture » : formule obscure.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généralisation soulève une objection : si chaque poste détient tous les dossiers, la confidentialité n’est-elle pas compromise ? Deux mécanismes y répondent. Le verrou de dossier permet au médecin chef de restreindre l’accès à un dossier sensible ; il est appliqué par l’interface de programmation applicative (API), y compris par le serveur embarqué du poste autonome. Le cloisonnement par initiateur établit ensuite que détenir la donnée n’est pas y avoir accès : les droits s’appliquent à la lecture.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généralisation soulève une objection : si chaque poste détient tous les dossiers, la confidentialité n’est-elle pas menacée ? Deux mécanismes y répondent. Le verrou de dossier permet au Médecin Chef de restreindre l’accès à un dossier sensible ; il est appliqué par l’interface de programmation applicative (API), y compris par le serveur embarqué du poste autonome. Le cloisonnement par initiateur s’y ajoute : avoir un dossier sur son poste ne donne pas le droit de le lire, car les droits sont contrôlés à chaque lecture.</w:t>
      </w:r>
    </w:p>
    <w:p>
      <w:pPr>
        <w:spacing w:after="80"/>
      </w:pPr>
    </w:p>
    <w:p>
      <w:pPr>
        <w:spacing w:after="120" w:line="300"/>
        <w:jc w:val="both"/>
      </w:pPr>
      <w:r>
        <w:rPr>
          <w:rFonts w:ascii="Times New Roman" w:cs="Times New Roman" w:eastAsia="Times New Roman" w:hAnsi="Times New Roman"/>
          <w:b/>
          <w:bCs/>
          <w:i/>
          <w:iCs/>
          <w:sz w:val="20"/>
          <w:szCs w:val="20"/>
        </w:rPr>
        <w:t xml:space="preserve">2.5 Catégories de patients et règles de prise en charge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La section commençait par « C’est » sans antécédent ; « personnes » → « patients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C’est la règle métier centrale du système : elle explique la majorité des contrôles, conditionne plusieurs cas d’utilisation et distingue ce système d’un dossier médical générique. Le système reconnaît cinq catégories de personnes, dont les droits diffèrent.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règle de prise en charge est la règle métier centrale du système : elle explique la plupart des contrôles, conditionne plusieurs cas d’utilisation et distingue ce système d’un dossier médical générique. Le système reconnaît cinq catégories de patients, dont les droits diffèrent.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n’en introduisent aucun nouveau » : on ne savait pas « aucun » quoi.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chapitre 1 recensait neuf statuts administratifs ; le système n’en retient que cinq, volontairement. Une catégorie n’est pas un statut : c’est un mode d’identification du patient associé à un régime de prise en charge. Les quatre statuts absents — expatriés, agents de la distillerie, visiteurs et missionnaires, stagiaires — n’en introduisent aucun nouveau. Ils se rattachent aux catégories existantes selon qu’ils portent un matricule SARIS, un rattachement à une société, ou aucun des deux. Les distinguer aurait multiplié les catégories sans changer une seule règle.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chapitre 1 recensait neuf statuts administratifs ; le système n’en retient que cinq, volontairement. Une catégorie n’est pas un statut : c’est un mode d’identification du patient associé à un régime de prise en charge. Les quatre statuts absents — expatriés, agents de la distillerie, visiteurs et missionnaires, stagiaires — n’introduisent aucun régime nouveau. Ils se rattachent aux catégories existantes selon qu’ils portent un matricule SARIS, un rattachement à une société, ou aucun des deux. Les distinguer aurait multiplié les catégories sans changer une seule règle.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se prête à un contresens » : plus simple. La refacturation n’est plus dite qu’ici.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tableau se prête à un contresens. Personne n’est refusé aux soins : toute personne qui se présente est reçue, examinée et soignée. Ce qui varie, c’est la prise en charge financière des médicaments et des examens, réservée au personnel en contrat à durée indéterminée et à ses ayants droit. Pour les autres statuts, les soins sont assurés puis refacturés à la société employeuse ou à l’assurance.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tableau peut être mal compris. Personne n’est refusé aux soins : toute personne qui se présente est reçue, examinée et soignée. Ce qui varie, c’est la prise en charge financière des médicaments et des examens, réservée au personnel en contrat à durée indéterminée et à ses ayants droit. Pour les autres statuts, les soins sont assurés puis refacturés à la société employeuse ou à l’assurance du patient.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par lequel l’employeur prend en charge, ou non : lui seul est restreint » : phrase difficile ; le bon d’examen est lui aussi restreint (tableau 2.4).</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Il faut donc distinguer deux documents que l’on confond aisément. L’ordonnance est un acte médical : le soignant prescrit ce que l’état du patient exige, et aucune catégorie ne la restreint. Le bon de pharmacie est un acte administratif, par lequel l’employeur prend en charge, ou non : lui seul est restreint.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Il faut donc distinguer deux documents que l’on confond facilement. L’ordonnance est un acte médical : le soignant prescrit ce que l’état du patient exige, et aucune catégorie ne la limite. Le bon de pharmacie, comme le bon d’examen, est un acte administratif : par ce bon, l’employeur accepte, ou non, de prendre la dépense en charge. Seuls les bons dépendent de la catégorie.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l’honore à ses frais », « conformément à sa nature de politique d’entreprise » : trop recherché.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 riverain reçoit donc une ordonnance s’il en a besoin, mais l’honore à ses frais, faute de bon. La règle n’est pas écrite en dur dans le code : une table de la base croise les catégories et les prestations. Elle reste ainsi modifiable sans redéploiement, conformément à sa nature de politique d’entreprise. En cas de refus, le message nomme la catégorie et rappelle la règle appliquée.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 riverain reçoit donc une ordonnance s’il en a besoin, mais achète ses médicaments à ses frais, faute de bon. La règle n’est pas écrite en dur dans le code : une table de la base de données croise les catégories et les prestations. On peut ainsi la modifier sans réinstaller le système, ce qui convient à une règle fixée par l’entreprise. En cas de refus, le message nomme la catégorie et rappelle la règle appliquée.</w:t>
      </w:r>
    </w:p>
    <w:p>
      <w:pPr>
        <w:spacing w:after="80"/>
      </w:pPr>
    </w:p>
    <w:p>
      <w:pPr>
        <w:spacing w:after="120" w:line="300"/>
        <w:jc w:val="both"/>
      </w:pPr>
      <w:r>
        <w:rPr>
          <w:rFonts w:ascii="Times New Roman" w:cs="Times New Roman" w:eastAsia="Times New Roman" w:hAnsi="Times New Roman"/>
          <w:b/>
          <w:bCs/>
          <w:i/>
          <w:iCs/>
          <w:sz w:val="20"/>
          <w:szCs w:val="20"/>
        </w:rPr>
        <w:t xml:space="preserve">2.6 Intérêts du sujet</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Trois choix techniques cités en jargon, avant d’avoir été expliqués ; ponctuation (deux-points manquant).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Il présente enfin un intérêt méthodologique, plus modeste : il documente une réponse à un problème récurrent dans la sous-région, concevoir un système de santé là où la connectivité n’est pas acquise. Trois de nos choix sont transposables : la réplication complète plutôt que partielle, la résolution par dernière écriture avec journalisation plutôt que le verrouillage, et le rejeu de requêtes plutôt que la duplication du moteur de règles. L’apport tient à leur argumentation plus qu’au code.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Il présente enfin un intérêt méthodologique, plus modeste : il documente une réponse à un problème fréquent dans la sous-région, celui de concevoir un système de santé là où la connexion n’est pas garantie. Trois de nos choix sont transposables, et le chapitre 6 les justifie : copier toutes les données sur chaque poste plutôt qu’une partie ; faire gagner la dernière modification en gardant la trace des conflits, plutôt que de verrouiller les dossiers ; rejouer les requêtes plutôt que de dupliquer les règles métier. L’apport tient à leur justification plus qu’au code.</w:t>
      </w:r>
    </w:p>
    <w:p>
      <w:pPr>
        <w:spacing w:after="80"/>
      </w:pPr>
    </w:p>
    <w:p>
      <w:pPr>
        <w:spacing w:after="120" w:line="300"/>
        <w:jc w:val="both"/>
      </w:pPr>
      <w:r>
        <w:rPr>
          <w:rFonts w:ascii="Times New Roman" w:cs="Times New Roman" w:eastAsia="Times New Roman" w:hAnsi="Times New Roman"/>
          <w:b/>
          <w:bCs/>
          <w:i/>
          <w:iCs/>
          <w:sz w:val="20"/>
          <w:szCs w:val="20"/>
        </w:rPr>
        <w:t xml:space="preserve">2.7 Situation du travail dans la littérature</w:t>
      </w:r>
    </w:p>
    <w:p>
      <w:pPr>
        <w:spacing w:after="120" w:line="300"/>
        <w:jc w:val="both"/>
      </w:pPr>
      <w:r>
        <w:rPr>
          <w:rFonts w:ascii="Times New Roman" w:cs="Times New Roman" w:eastAsia="Times New Roman" w:hAnsi="Times New Roman"/>
          <w:b/>
          <w:bCs/>
          <w:i w:val="false"/>
          <w:iCs w:val="false"/>
          <w:color w:val="1F4E79"/>
          <w:sz w:val="20"/>
          <w:szCs w:val="20"/>
        </w:rPr>
        <w:t xml:space="preserve">Grammaire — </w:t>
      </w:r>
      <w:r>
        <w:rPr>
          <w:rFonts w:ascii="Times New Roman" w:cs="Times New Roman" w:eastAsia="Times New Roman" w:hAnsi="Times New Roman"/>
          <w:b w:val="false"/>
          <w:bCs w:val="false"/>
          <w:i/>
          <w:iCs/>
          <w:sz w:val="20"/>
          <w:szCs w:val="20"/>
        </w:rPr>
        <w:t xml:space="preserve">Temps : la classification a été publiée, elle n’est pas en cours de publication.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Cinq références encadrent ce travail. En 2025, l’Organisation mondiale de la santé a publié une stratégie d’optimisation des systèmes d’information sanitaire de routine, destinée à renforcer ces systèmes au service des soins de santé primaires. Elle situe notre travail dans un cadre reconnu : un centre médico-sanitaire d’entreprise produit précisément des données de routine — consultations, pathologies, prescriptions — dont l’agrégation alimente les décisions de santé. La même organisation publie la onzième révision de la classification internationale des maladies, en vigueur depuis le 1er janvier 2022 : c’est vers elle que devrait converger tout référentiel de pathologies, pour que les statistiques produites restent comparables d’un système de santé à l’autre.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Cinq références encadrent ce travail. En 2025, l’Organisation mondiale de la santé a publié une stratégie d’optimisation des systèmes d’information sanitaire de routine, destinée à renforcer ces systèmes au service des soins de santé primaires. Elle situe notre travail dans un cadre reconnu : un centre médico-sanitaire d’entreprise produit précisément des données de routine — consultations, pathologies, prescriptions — dont l’agrégation alimente les décisions de santé. La même organisation a publié la onzième révision de la classification internationale des maladies, en vigueur depuis le 1er janvier 2022 : c’est vers elle que devrait converger tout référentiel de pathologies, pour que les statistiques produites restent comparables d’un système de santé à l’autre.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Usage — </w:t>
      </w:r>
      <w:r>
        <w:rPr>
          <w:rFonts w:ascii="Times New Roman" w:cs="Times New Roman" w:eastAsia="Times New Roman" w:hAnsi="Times New Roman"/>
          <w:b w:val="false"/>
          <w:bCs w:val="false"/>
          <w:i/>
          <w:iCs/>
          <w:sz w:val="20"/>
          <w:szCs w:val="20"/>
        </w:rPr>
        <w:t xml:space="preserve">« et al. » est la forme habituelle dans un texte scientifique en français.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En 2024, Traore et alii ont analysé, dans le Pan African Medical Journal, la gestion des données du système d’information sanitaire de routine dans le district sanitaire de Tombouctou, au Mali, en contexte de ressources contraintes. C’est la référence la plus proche de notre sujet : francophone, à comité de lecture, et portant sur un environnement comparable à celui du Centre Médico-Sanitaire de SARIS-CONGO.</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En 2024, Traore et al. ont analysé, dans le Pan African Medical Journal, la gestion des données du système d’information sanitaire de routine dans le district sanitaire de Tombouctou, au Mali, en contexte de ressources contraintes. C’est la référence la plus proche de notre sujet : francophone, à comité de lecture, et portant sur un environnement comparable à celui du Centre Médico-Sanitaire de SARIS-CONGO.</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La section finissait sur une NOUVELLE question, différente de la problématique et jamais reprise : un jury le relèverait.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Ces références convergent vers la question que nous traitons. En quoi le contexte d’un centre de santé d’entreprise, en milieu à connectivité intermittente et réparti sur deux sites, diffère-t-il de celui pour lequel les systèmes hospitaliers courants sont conçus ?</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Ces références se rejoignent sur un point : un système de santé doit être conçu pour son contexte. Or le nôtre — un centre de santé d’entreprise, réparti sur deux sites, avec une connexion intermittente — n’est pas celui pour lequel les logiciels hospitaliers courants sont conçus. C’est ce décalage que traite notre problématique (§ 2.2).</w:t>
      </w:r>
    </w:p>
    <w:p>
      <w:pPr>
        <w:spacing w:after="80"/>
      </w:pPr>
    </w:p>
    <w:p>
      <w:pPr>
        <w:spacing w:after="120" w:line="300"/>
        <w:jc w:val="both"/>
      </w:pPr>
      <w:r>
        <w:rPr>
          <w:rFonts w:ascii="Times New Roman" w:cs="Times New Roman" w:eastAsia="Times New Roman" w:hAnsi="Times New Roman"/>
          <w:b/>
          <w:bCs/>
          <w:i/>
          <w:iCs/>
          <w:sz w:val="20"/>
          <w:szCs w:val="20"/>
        </w:rPr>
        <w:t xml:space="preserve">2.8 Périmètre retenu et solution proposée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ajout d’agrément » : expression recherchée.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Aucune n’est un ajout d’agrément : le dossier centralisé et la synchronisation répondent aux deux besoins prioritaires du Médecin Chef, les habilitations traduisent la règle de confidentialité du centre, et la messagerie répond au constat que l’information circule oralement, sans trace.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S’y ajoutent dix fonctions transverses : le dossier patient centralisé, les référentiels, la gestion du personnel et des délégations, la sécurité et les habilitations, le journal d’audit, la synchronisation hors connexion, la messagerie interne chiffrée, les notifications, les tableaux de bord et rapports, et les paramètres système. Aucune n’est un simple confort : le dossier centralisé et la synchronisation répondent aux deux besoins prioritaires du Médecin Chef, les habilitations traduisent la règle de confidentialité du centre, et la messagerie répond au constat que l’information circule oralement, sans trace.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Erreur de chiffre — </w:t>
      </w:r>
      <w:r>
        <w:rPr>
          <w:rFonts w:ascii="Times New Roman" w:cs="Times New Roman" w:eastAsia="Times New Roman" w:hAnsi="Times New Roman"/>
          <w:b w:val="false"/>
          <w:bCs w:val="false"/>
          <w:i/>
          <w:iCs/>
          <w:sz w:val="20"/>
          <w:szCs w:val="20"/>
        </w:rPr>
        <w:t xml:space="preserve">Il y a CINQ besoins de priorité haute hors périmètre (R1, R2, P1, P2, P3 dans les tableaux 4.9 et 5.3), pas trois.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Trois besoins de priorité haute restent donc sans réponse : le suivi des coûts d’évacuation, le tableau de bord de l’absentéisme et le logiciel de gestion pharmaceutique. Tous relèvent de domaines écartés. Un besoin hors périmètre relève d’une décision de cadrage argumentée ; seul un besoin non réalisé à l’intérieur du périmètre serait un échec. Ces trois besoins figurent dans les perspectives de la conclusion.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Cinq besoins de priorité haute restent donc sans réponse : le suivi des coûts d’évacuation, le tableau de bord de l’absentéisme et les trois besoins de la pharmacie (logiciel de stock, reçus de dispensation, facturation). Tous relèvent de domaines écartés. Un besoin hors périmètre résulte d’un choix de cadrage justifié ; seul un besoin non réalisé à l’intérieur du périmètre serait un échec. Ces besoins figurent dans les perspectives de la conclusion.</w:t>
      </w:r>
    </w:p>
    <w:p>
      <w:pPr>
        <w:spacing w:after="80"/>
      </w:pPr>
    </w:p>
    <w:p>
      <w:pPr>
        <w:spacing w:after="120" w:line="300"/>
        <w:jc w:val="both"/>
      </w:pPr>
      <w:r>
        <w:rPr>
          <w:rFonts w:ascii="Times New Roman" w:cs="Times New Roman" w:eastAsia="Times New Roman" w:hAnsi="Times New Roman"/>
          <w:b/>
          <w:bCs/>
          <w:i/>
          <w:iCs/>
          <w:sz w:val="20"/>
          <w:szCs w:val="20"/>
        </w:rPr>
        <w:t xml:space="preserve">2.9 Concepts liés au sujet</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Majuscules de « Médecin Chef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Autorisation temporaire, accordée par le médecin chef à un infirmier, de prescrire dans un cadre défini</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Autorisation temporaire, accordée par le Médecin Chef à un infirmier, de prescrire dans un cadre défini</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cas nominal » et « enrichissement » : jargon.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Approche où le fonctionnement sans réseau constitue le cas nominal, la connexion étant un enrichissement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Approche où le fonctionnement sans réseau est le cas normal, la connexion étant un plus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Majuscules de « Médecin Chef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Restriction d’accès posée par le médecin chef sur un dossier sensible, appliquée y compris hors connexion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Restriction d’accès posée par le Médecin Chef sur un dossier sensible, appliquée y compris hors connexion</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Majuscules de « Médecin Chef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suivi médical repose sur une hiérarchie où l’infirmier agit sous délégation du médecin chef, avec une visibilité cloisonnée. Cette organisation existait, informelle et non tracée : le système l’encadre. Le fonctionnement sur deux sites impose une réplication complète des dossiers ; nous avons arbitré en faveur de la disponibilité de l’information de soin, avec un verrou applicatif pour garde-fou.</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suivi médical repose sur une hiérarchie où l’infirmier agit sous délégation du Médecin Chef, avec une visibilité cloisonnée. Cette organisation existait, informelle et non tracée : le système l’encadre. Le fonctionnement sur deux sites impose une réplication complète des dossiers ; nous avons arbitré en faveur de la disponibilité de l’information de soin, avec un verrou applicatif pour garde-fou.</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La Partie II ne traite pas que la technique : elle couvre l’analyse, la conception et la réalisation.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Une règle d’éligibilité distingue enfin le soin, ouvert à tous, de la prise en charge financière, réservée à certains. Le périmètre retenu — le parcours de soin et ses fonctions transverses — est justifié, tout comme ce qui en a été écarté. La Partie II développe la démarche technique.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Une règle d’éligibilité distingue enfin le soin, ouvert à tous, de la prise en charge financière, réservée à certains. Le périmètre retenu — le parcours de soin et ses fonctions transverses — est justifié, tout comme ce qui en a été écarté. La Partie II présente l’analyse, la conception et la réalisation de ce système.</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3 — DÉMARCHE MÉTHODOLOGIQUE : 2TUP COUPLÉ À UML</w:t>
      </w:r>
    </w:p>
    <w:p>
      <w:pPr>
        <w:spacing w:after="120" w:line="300"/>
        <w:jc w:val="both"/>
      </w:pPr>
      <w:r>
        <w:rPr>
          <w:rFonts w:ascii="Times New Roman" w:cs="Times New Roman" w:eastAsia="Times New Roman" w:hAnsi="Times New Roman"/>
          <w:b/>
          <w:bCs/>
          <w:i/>
          <w:iCs/>
          <w:sz w:val="20"/>
          <w:szCs w:val="20"/>
        </w:rPr>
        <w:t xml:space="preserve">3.2 2TUP, un processus en Y</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Paragraphe trop long : on le coupe là où commence la description des huit étapes.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Mêler ces deux natures de contraintes dès le départ produit un défaut connu : la conception fonctionnelle se laisse contaminer par des considérations techniques, et les choix techniques se figent avant que le métier soit compris. 2TUP les sépare donc en deux branches parallèles, qui ne se rejoignent qu’à la conception préliminaire. D’où sa représentation en Y : deux branches montantes, un point de convergence, un tronc descendant. Le cycle compte huit étapes. La branche fonctionnelle enchaîne la capture des besoins fonctionnels puis l’analyse ; la branche technique, la capture des besoins techniques puis la conception générique. Le tronc va de la conception préliminaire à la recette, en passant par la conception détaillée, le codage et les tests. La figure 3.1 en donne la représentation, adaptée de Roques et Vallée (2007).</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Mêler ces deux natures de contraintes dès le départ produit un défaut connu : la conception fonctionnelle se laisse contaminer par des considérations techniques, et les choix techniques se figent avant que le métier soit compris. 2TUP les sépare donc en deux branches parallèles, qui ne se rejoignent qu’à la conception préliminaire. D’où sa représentation en Y : deux branches montantes, un point de convergence, un tronc descendant.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Le cycle compte huit étapes. La branche fonctionnelle enchaîne la capture des besoins fonctionnels puis l’analyse ; la branche technique, la capture des besoins techniques puis la conception générique. Le tronc va de la conception préliminaire à la recette, en passant par la conception détaillée, le codage et les tests. La figure 3.1 en donne la représentation, adaptée de Roques et Vallée (2007).</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Le paragraphe mêlait la fin de la branche fonctionnelle et le début de la branche technique.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règle est purement métier : aucune considération technique n’intervient dans sa formulation. La branche technique part au contraire des contraintes d’exploitation, et construit l’architecture qui les satisfait, indépendamment des fonctions à rendre. Dans notre projet, ces contraintes ne venaient pas du métier : fonctionner sans connexion, partager les données entre deux sites, protéger des données de santé. Le § 6.1 les énumère.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règle est purement métier : aucune considération technique n’intervient dans sa formulation.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La branche technique part au contraire des contraintes d’exploitation, et construit l’architecture qui les satisfait, indépendamment des fonctions à rendre. Dans notre projet, ces contraintes ne venaient pas du métier : fonctionner sans connexion, partager les données entre deux sites, protéger des données de santé. Le § 6.1 les énumère.</w:t>
      </w:r>
    </w:p>
    <w:p>
      <w:pPr>
        <w:spacing w:after="80"/>
      </w:pPr>
    </w:p>
    <w:p>
      <w:pPr>
        <w:spacing w:after="120" w:line="300"/>
        <w:jc w:val="both"/>
      </w:pPr>
      <w:r>
        <w:rPr>
          <w:rFonts w:ascii="Times New Roman" w:cs="Times New Roman" w:eastAsia="Times New Roman" w:hAnsi="Times New Roman"/>
          <w:b/>
          <w:bCs/>
          <w:i/>
          <w:iCs/>
          <w:sz w:val="20"/>
          <w:szCs w:val="20"/>
        </w:rPr>
        <w:t xml:space="preserve">3.3 UML, le langage de modélisation retenu</w:t>
      </w:r>
    </w:p>
    <w:p>
      <w:pPr>
        <w:spacing w:after="120" w:line="300"/>
        <w:jc w:val="both"/>
      </w:pPr>
      <w:r>
        <w:rPr>
          <w:rFonts w:ascii="Times New Roman" w:cs="Times New Roman" w:eastAsia="Times New Roman" w:hAnsi="Times New Roman"/>
          <w:b/>
          <w:bCs/>
          <w:i w:val="false"/>
          <w:iCs w:val="false"/>
          <w:color w:val="1F4E79"/>
          <w:sz w:val="20"/>
          <w:szCs w:val="20"/>
        </w:rPr>
        <w:t xml:space="preserve">Sigle — </w:t>
      </w:r>
      <w:r>
        <w:rPr>
          <w:rFonts w:ascii="Times New Roman" w:cs="Times New Roman" w:eastAsia="Times New Roman" w:hAnsi="Times New Roman"/>
          <w:b w:val="false"/>
          <w:bCs w:val="false"/>
          <w:i/>
          <w:iCs/>
          <w:sz w:val="20"/>
          <w:szCs w:val="20"/>
        </w:rPr>
        <w:t xml:space="preserve">OMT et OOSE ne sont définis nulle part.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 langage de modélisation est une notation qui décrit un système selon des règles fixées, pour que tous ses lecteurs y comprennent la même chose. UML est le plus répandu. C’est un langage graphique, normalisé par l’Object Management Group, né de la fusion de trois notations objet concurrentes : celles de Booch, d’OMT et d’OOSE. Ce n’est ni une méthode ni un processus, mais un vocabulaire visuel. Sa valeur tient à trois propriétés : il est normalisé, donc lisible par tout informaticien formé ; il est multi-vues, aucun diagramme ne prétendant décrire le système entier ; il est indépendant du langage de programmation, ce qui permet de raisonner sur la structure avant le code.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 langage de modélisation est une notation qui décrit un système selon des règles fixées, pour que tous ses lecteurs y comprennent la même chose. UML est le plus répandu. C’est un langage graphique, normalisé par l’Object Management Group, né de la fusion de trois notations objet concurrentes, dues à Grady Booch, James Rumbaugh et Ivar Jacobson. Ce n’est ni une méthode ni un processus, mais un vocabulaire visuel. Sa valeur tient à trois propriétés : il est normalisé, donc lisible par tout informaticien formé ; il est multi-vues, aucun diagramme ne prétendant décrire le système entier ; il est indépendant du langage de programmation, ce qui permet de raisonner sur la structure avant le code.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 idées dans un même paragraphe (la limite d’UML, puis les familles de diagrammes).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Sa limite est qu’un diagramme UML ne prouve rien : il communique une intention, et seule une vérification explicite garantit la conformité entre le modèle et le code. UML définit une quinzaine de types de diagrammes, répartis en deux familles : les diagrammes de structure, qui décrivent l’organisation statique du système, et les diagrammes de comportement, dont relèvent les diagrammes d’interaction. Nous n’avons retenu que ceux qui répondent chacun à une question précise du projet, et nous les avons tous tracés avec draw.io, un éditeur libre dont le format reste ouvert et modifiable, ce qui permet de les reprendre sans dépendre d’un logiciel propriétaire.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Sa limite est qu’un diagramme UML ne prouve rien : il communique une intention, et seule une vérification explicite garantit la conformité entre le modèle et le code.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UML définit une quinzaine de types de diagrammes, répartis en deux familles : les diagrammes de structure, qui décrivent l’organisation statique du système, et les diagrammes de comportement, dont relèvent les diagrammes d’interaction. Nous n’avons retenu que ceux qui répondent chacun à une question précise du projet, et nous les avons tous tracés avec draw.io, un éditeur libre dont le format reste ouvert et modifiable, ce qui permet de les reprendre sans dépendre d’un logiciel propriétaire.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Le mémoire écrit « package » partout ailleurs (35 fois), comme Roques et Vallée.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avons écarté quatre diagrammes fréquents. Le diagramme d’états-transitions n’a pas été produit sous forme graphique : les machines à états du système sont décrites par des tables de transitions, plus denses et plus vérifiables. Le diagramme de paquetages n’apporterait rien de plus que le diagramme de composants, où l’organisation du code est déjà lisible. Le diagramme de séquence objets et le diagramme de communication montrent les mêmes objets et les mêmes échanges que les diagrammes de séquence système du chapitre 5 : seule la forme change. Les produire aurait ajouté des planches sans ajouter d’information.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avons écarté quatre diagrammes fréquents. Le diagramme d’états-transitions n’a pas été produit sous forme graphique : les machines à états du système sont décrites par des tables de transitions, plus denses et plus vérifiables. Le diagramme de packages n’apporterait rien de plus que le diagramme de composants, où l’organisation du code est déjà lisible. Le diagramme de séquence objets et le diagramme de communication montrent les mêmes objets et les mêmes échanges que les diagrammes de séquence système du chapitre 5 : seule la forme change. Les produire aurait ajouté des planches sans ajouter d’information.</w:t>
      </w:r>
    </w:p>
    <w:p>
      <w:pPr>
        <w:spacing w:after="80"/>
      </w:pPr>
    </w:p>
    <w:p>
      <w:pPr>
        <w:spacing w:after="120" w:line="300"/>
        <w:jc w:val="both"/>
      </w:pPr>
      <w:r>
        <w:rPr>
          <w:rFonts w:ascii="Times New Roman" w:cs="Times New Roman" w:eastAsia="Times New Roman" w:hAnsi="Times New Roman"/>
          <w:b/>
          <w:bCs/>
          <w:i/>
          <w:iCs/>
          <w:sz w:val="20"/>
          <w:szCs w:val="20"/>
        </w:rPr>
        <w:t xml:space="preserve">3.4 Justification du choix de 2TUP couplé à UML</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Merise aurait obligé à traduire deux fois » : on ne comprenait pas quoi.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Merise reste solide pour concevoir une base de données, et son modèle conceptuel a inspiré la modélisation des données de ce projet. Mais elle est orientée données et traitements, non objet. Or l’application repose sur une modélisation objet de bout en bout : Merise aurait obligé à traduire deux fois.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Merise reste solide pour concevoir une base de données, et son modèle conceptuel a inspiré la modélisation des données de ce projet. Mais Merise sépare les données et les traitements, alors que notre application est orientée objet de bout en bout. L’adopter comme méthode globale nous aurait obligés à passer sans cesse d’un modèle à l’autre.</w:t>
      </w:r>
    </w:p>
    <w:p>
      <w:pPr>
        <w:spacing w:after="80"/>
      </w:pPr>
    </w:p>
    <w:p>
      <w:pPr>
        <w:spacing w:after="120" w:line="300"/>
        <w:jc w:val="both"/>
      </w:pPr>
      <w:r>
        <w:rPr>
          <w:rFonts w:ascii="Times New Roman" w:cs="Times New Roman" w:eastAsia="Times New Roman" w:hAnsi="Times New Roman"/>
          <w:b/>
          <w:bCs/>
          <w:i/>
          <w:iCs/>
          <w:sz w:val="20"/>
          <w:szCs w:val="20"/>
        </w:rPr>
        <w:t xml:space="preserve">3.5 Déroulement de la démarche dans ce mémoire</w:t>
      </w:r>
    </w:p>
    <w:p>
      <w:pPr>
        <w:spacing w:after="120" w:line="300"/>
        <w:jc w:val="both"/>
      </w:pPr>
      <w:r>
        <w:rPr>
          <w:rFonts w:ascii="Times New Roman" w:cs="Times New Roman" w:eastAsia="Times New Roman" w:hAnsi="Times New Roman"/>
          <w:b/>
          <w:bCs/>
          <w:i w:val="false"/>
          <w:iCs w:val="false"/>
          <w:color w:val="1F4E79"/>
          <w:sz w:val="20"/>
          <w:szCs w:val="20"/>
        </w:rPr>
        <w:t xml:space="preserve">Contradiction — </w:t>
      </w:r>
      <w:r>
        <w:rPr>
          <w:rFonts w:ascii="Times New Roman" w:cs="Times New Roman" w:eastAsia="Times New Roman" w:hAnsi="Times New Roman"/>
          <w:b w:val="false"/>
          <w:bCs w:val="false"/>
          <w:i/>
          <w:iCs/>
          <w:sz w:val="20"/>
          <w:szCs w:val="20"/>
        </w:rPr>
        <w:t xml:space="preserve">« mise en production » contredit la phrase suivante (« la mise en service n’a pas dépassé le cadre académique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 convergence occupe le chapitre 7 : le modèle du métier y est projeté sur l’architecture technique, puis la construction, les tests et la mise en production y sont rapportés.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convergence occupe le chapitre 7 : le modèle du métier y est projeté sur l’architecture technique, puis la construction, les tests et le déploiement y sont rapportés.</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4 — ÉTUDE DE L’EXISTANT</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Les sources et les entretiens étaient présentés ici puis de nouveau au § 4.1.</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nous appuyons sur deux sources. Le recueil de l’existant, produit pendant le stage à partir de quatre entretiens semi-directifs, est la source primaire. Le rapport de stage a permis d’inventorier l’organisation informatique, le parc matériel et les applications en production. Les entretiens ont été conduits par l’équipe du projet ; l’analyse des résultats, la sélection du périmètre, la conception et la réalisation relèvent de notre travail commun.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Il s’appuie sur deux sources. La source principale est le recueil de l’existant, tiré de quatre entretiens semi-directifs menés pendant le stage (§ 4.1). Le rapport de stage a permis, lui, d’inventorier l’organisation informatique, le parc matériel et les applications en usage. Les entretiens ont été conduits par l’équipe du projet ; l’analyse des résultats, le choix du périmètre, la conception et la réalisation sont notre travail commun.</w:t>
      </w:r>
    </w:p>
    <w:p>
      <w:pPr>
        <w:spacing w:after="80"/>
      </w:pPr>
    </w:p>
    <w:p>
      <w:pPr>
        <w:spacing w:after="120" w:line="300"/>
        <w:jc w:val="both"/>
      </w:pPr>
      <w:r>
        <w:rPr>
          <w:rFonts w:ascii="Times New Roman" w:cs="Times New Roman" w:eastAsia="Times New Roman" w:hAnsi="Times New Roman"/>
          <w:b/>
          <w:bCs/>
          <w:i/>
          <w:iCs/>
          <w:sz w:val="20"/>
          <w:szCs w:val="20"/>
        </w:rPr>
        <w:t xml:space="preserve">4.1 Démarche du recueil et sources mobilisées</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accordée oralement » alors que le § 4.3 dit « accord verbal ou écrit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avons collecté ces données par entretien semi-directif, auprès de quatre acteurs choisis pour couvrir toute la chaîne médico-sociale. Ce choix tient à la nature de l’objet étudié : le fonctionnement du centre reposait largement sur des pratiques non écrites — l’ordre de passage tenu de mémoire, la vérification du droit aux prises en charge par contrôle visuel du badge, la délégation de prescription accordée oralement. Aucun document n’aurait permis de les reconstituer.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avons collecté ces données par entretien semi-directif, auprès de quatre acteurs choisis pour couvrir toute la chaîne médico-sociale. Ce choix tient à la nature de l’objet étudié : le fonctionnement du centre reposait largement sur des pratiques non écrites — l’ordre de passage tenu de mémoire, la vérification du droit aux prises en charge par contrôle visuel du badge, la délégation de prescription, souvent accordée de vive voix. Aucun document n’aurait permis de les reconstituer.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besoin exprimé spontanément » mélange deux catégories du tableau 4.9 (« exprimé » et « spontané ») ; il y en a exactement un.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L’entretien semi-directif laisse en outre place à ce qui n’était pas prévu, contrairement au questionnaire fermé : le recueil compte au moins un besoin exprimé spontanément. Les quatre entretiens prévus ont été conduits et complétés pendant le stage, du 15 janvier au 14 avril 2026. Nous ne nommons pas les personnes rencontrées : l’autorisation de les citer n’ayant pas été formellement recueillie, elles sont désignées par leur fonction.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L’entretien semi-directif laisse en outre place à ce qui n’était pas prévu, contrairement au questionnaire fermé : le recueil compte ainsi un besoin spontané, apparu en dehors des questions prévues. Les quatre entretiens prévus ont été conduits et complétés pendant le stage, du 15 janvier au 14 avril 2026. Nous ne nommons pas les personnes rencontrées : l’autorisation de les citer n’ayant pas été formellement recueillie, elles sont désignées par leur fonction.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n’est pas exhaustif de l’effectif … il l’est de ses fonctions » : tournure lourde.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Notre choix d’interlocuteurs n’est pas exhaustif de l’effectif du centre, mais il l’est de ses fonctions : chaque étape du parcours d’un patient est représentée, de son arrivée à la validation administrative de ses documents.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n’avons pas rencontré tout le personnel du centre, mais toutes ses fonctions sont représentées : chaque étape du parcours d’un patient l’est, de son arrivée à la validation administrative de ses documents.</w:t>
      </w:r>
    </w:p>
    <w:p>
      <w:pPr>
        <w:spacing w:after="80"/>
      </w:pPr>
    </w:p>
    <w:p>
      <w:pPr>
        <w:spacing w:after="120" w:line="300"/>
        <w:jc w:val="both"/>
      </w:pPr>
      <w:r>
        <w:rPr>
          <w:rFonts w:ascii="Times New Roman" w:cs="Times New Roman" w:eastAsia="Times New Roman" w:hAnsi="Times New Roman"/>
          <w:b/>
          <w:bCs/>
          <w:i/>
          <w:iCs/>
          <w:sz w:val="20"/>
          <w:szCs w:val="20"/>
        </w:rPr>
        <w:t xml:space="preserve">4.2 Les processus métier soumis à l’étude</w:t>
      </w:r>
    </w:p>
    <w:p>
      <w:pPr>
        <w:spacing w:after="120" w:line="300"/>
        <w:jc w:val="both"/>
      </w:pPr>
      <w:r>
        <w:rPr>
          <w:rFonts w:ascii="Times New Roman" w:cs="Times New Roman" w:eastAsia="Times New Roman" w:hAnsi="Times New Roman"/>
          <w:b/>
          <w:bCs/>
          <w:i w:val="false"/>
          <w:iCs w:val="false"/>
          <w:color w:val="1F4E79"/>
          <w:sz w:val="20"/>
          <w:szCs w:val="20"/>
        </w:rPr>
        <w:t xml:space="preserve">Structure — </w:t>
      </w:r>
      <w:r>
        <w:rPr>
          <w:rFonts w:ascii="Times New Roman" w:cs="Times New Roman" w:eastAsia="Times New Roman" w:hAnsi="Times New Roman"/>
          <w:b w:val="false"/>
          <w:bCs w:val="false"/>
          <w:i/>
          <w:iCs/>
          <w:sz w:val="20"/>
          <w:szCs w:val="20"/>
        </w:rPr>
        <w:t xml:space="preserve">Le schéma directeur informatique concerne l’organisation informatique (§ 4.4), pas les processus métier : la phrase est déplacée à la fin du § 4.4.</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délimitation est justifiée au chapitre 2. L’existence d’un schéma directeur informatique couvrant le domaine médical n’a pas pu être établie, et trois indices suggèrent qu’il n’en existait pas : l’absence de tout système d’information médical, l’échec non corrigé de deux outils tableur, et l’absence d’appui informatique dédié.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délimitation est justifiée au chapitre 2 (§ 2.8).</w:t>
      </w:r>
    </w:p>
    <w:p>
      <w:pPr>
        <w:spacing w:after="80"/>
      </w:pPr>
    </w:p>
    <w:p>
      <w:pPr>
        <w:spacing w:after="120" w:line="300"/>
        <w:jc w:val="both"/>
      </w:pPr>
      <w:r>
        <w:rPr>
          <w:rFonts w:ascii="Times New Roman" w:cs="Times New Roman" w:eastAsia="Times New Roman" w:hAnsi="Times New Roman"/>
          <w:b/>
          <w:bCs/>
          <w:i/>
          <w:iCs/>
          <w:sz w:val="20"/>
          <w:szCs w:val="20"/>
        </w:rPr>
        <w:t xml:space="preserve">4.3 Le processus de consultation avant le projet</w:t>
      </w: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 la Figure 4.1 » avec majuscule dans le texte (ailleurs : « la figure 3.1 ») ; tournure variée par rapport à l’introduction.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processus antérieur est représenté sur deux planches : la Figure 4.1 couvre le triage et le recueil clinique, la Figure 4.2 la consultation, la décision et la clôture. Ce processus était structuré : le Médecin Chef l’avait défini par écrit, en quatre étapes standardisées. Ce qui manquait n’était pas la méthode, mais l’outil pour l’appliquer et en conserver la trace.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processus antérieur est représenté sur deux planches : la figure 4.1 couvre le triage et le recueil clinique, la figure 4.2 la consultation, la décision et la clôture. Ce processus était structuré : le Médecin Chef l’avait défini par écrit, en quatre étapes standardisées. Le centre ne manquait donc pas de méthode, mais d’un outil pour l’appliquer et en conserver la trace.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 sujets (consultations spécialisées, délégation) dans un même paragraphe ; « allégé … alléger » répété.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Pour les consultations spécialisées, le triage est allégé : l’infirmière collecte seulement le statut et l’identité, puis oriente directement vers le spécialiste. La délégation de prescription mérite d’être détaillée, car le système la reprend telle quelle. Pour alléger sa surcharge, décrite au chapitre 1, le Médecin Chef avait mis en place une délégation partielle à certains infirmiers formés.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Pour les consultations spécialisées, le triage est allégé : l’infirmière collecte seulement le statut et l’identité, puis oriente directement vers le spécialiste.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La délégation de prescription mérite d’être détaillée, car le système la reprend telle quelle. Pour réduire sa surcharge, décrite au chapitre 1, le Médecin Chef avait mis en place une délégation partielle à certains infirmiers formés.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Ponctuation — </w:t>
      </w:r>
      <w:r>
        <w:rPr>
          <w:rFonts w:ascii="Times New Roman" w:cs="Times New Roman" w:eastAsia="Times New Roman" w:hAnsi="Times New Roman"/>
          <w:b w:val="false"/>
          <w:bCs w:val="false"/>
          <w:i/>
          <w:iCs/>
          <w:sz w:val="20"/>
          <w:szCs w:val="20"/>
        </w:rPr>
        <w:t xml:space="preserve">Pas de virgule avant « et » quand il relie deux éléments d’une même liste.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délégation autorise la conduite d’une consultation complète pour les cas courants, et la prescription pour les pathologies simples : paludisme, diarrhée, infection bénigne. Elle exclut en revanche le traitement d’un cas présentant une complexité clinique, la décision d’évacuation, et toute décision médicale en cas de doute.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délégation autorise la conduite d’une consultation complète pour les cas courants et la prescription pour les pathologies simples : paludisme, diarrhée, infection bénigne. Elle exclut en revanche le traitement d’un cas présentant une complexité clinique, la décision d’évacuation et toute décision médicale en cas de doute.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La dernière phrase introduit le tableau 4.3, un autre sujet : paragraphe à part.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Une règle absolue l’encadre : « dès qu’un doute ou une complexité apparaît, le dossier est immédiatement remis au Médecin Chef, qui devient seul décisionnaire ». Cette délégation reposait toutefois sur un accord verbal ou écrit, sans contrôle systématique : rien ne permettait d’établir après coup sous quelle autorisation un acte avait été prescrit. Le centre appliquait enfin une règle de confidentialité stricte, différenciée selon les acteurs.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Une règle absolue l’encadre : « dès qu’un doute ou une complexité apparaît, le dossier est immédiatement remis au Médecin Chef, qui devient seul décisionnaire ». Cette délégation reposait toutefois sur un accord verbal ou écrit, sans contrôle systématique : rien ne permettait d’établir après coup sous quelle autorisation un acte avait été prescrit.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Le centre appliquait enfin une règle de confidentialité stricte, différenciée selon les acteurs.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rendue opposable » est un terme juridique.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règle existait donc avant le projet, mais aucun dispositif technique ne la garantissait : un poste, un fichier partagé, aucune authentification. Le système ne l’a pas inventée, il l’a rendue opposable.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Cette règle existait donc avant le projet, mais aucun dispositif technique ne la garantissait : un poste, un fichier partagé, aucune authentification. Le système ne l’a pas inventée : il la fait respecter automatiquement.</w:t>
      </w:r>
    </w:p>
    <w:p>
      <w:pPr>
        <w:spacing w:after="80"/>
      </w:pPr>
    </w:p>
    <w:p>
      <w:pPr>
        <w:spacing w:after="120" w:line="300"/>
        <w:jc w:val="both"/>
      </w:pPr>
      <w:r>
        <w:rPr>
          <w:rFonts w:ascii="Times New Roman" w:cs="Times New Roman" w:eastAsia="Times New Roman" w:hAnsi="Times New Roman"/>
          <w:b/>
          <w:bCs/>
          <w:i/>
          <w:iCs/>
          <w:sz w:val="20"/>
          <w:szCs w:val="20"/>
        </w:rPr>
        <w:t xml:space="preserve">4.4 L’organisation informatique et le personnel qui la porte</w:t>
      </w: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Le tableau 4.5 compte un chef de service (« Direction ») en plus des deux sections.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service compte sept personnes, réparties en deux sections. La section saisie enregistre les données administratives et opérationnelles : rapports de main-d’œuvre, données du parc, pointages, centralisation dans le progiciel de gestion. La section réseau et système administre les serveurs, gère l’infrastructure et assure la maintenance.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service compte sept personnes : un chef de service et deux sections. La section saisie enregistre les données administratives et opérationnelles : rapports de main-d’œuvre, données du parc, pointages, centralisation dans le progiciel de gestion. La section réseau et système administre les serveurs, gère l’infrastructure et assure la maintenance.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Anglicisme — </w:t>
      </w:r>
      <w:r>
        <w:rPr>
          <w:rFonts w:ascii="Times New Roman" w:cs="Times New Roman" w:eastAsia="Times New Roman" w:hAnsi="Times New Roman"/>
          <w:b w:val="false"/>
          <w:bCs w:val="false"/>
          <w:i/>
          <w:iCs/>
          <w:sz w:val="20"/>
          <w:szCs w:val="20"/>
        </w:rPr>
        <w:t xml:space="preserve">Intitulé en anglais ; le texte dit « analyste de données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Data Analyst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Analyste de données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figurent à l’effectif » alors que l’effectif est de zéro.</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postes figurent à l’effectif sans être pourvus : celui de développeur et celui d’analyste de données. Le service administre donc l’existant, mais ne construit rien et n’exploite aucune donnée.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postes sont prévus sans être pourvus : celui de développeur et celui d’analyste de données. Le service administre donc l’existant, mais ne construit rien et n’exploite aucune donnée.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Structure — </w:t>
      </w:r>
      <w:r>
        <w:rPr>
          <w:rFonts w:ascii="Times New Roman" w:cs="Times New Roman" w:eastAsia="Times New Roman" w:hAnsi="Times New Roman"/>
          <w:b w:val="false"/>
          <w:bCs w:val="false"/>
          <w:i/>
          <w:iCs/>
          <w:sz w:val="20"/>
          <w:szCs w:val="20"/>
        </w:rPr>
        <w:t xml:space="preserve">Phrase déplacée depuis le § 4.2, reformulée plus simplement.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(nouveau paragraphe)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n’avons pas pu établir s’il existait un schéma directeur informatique couvrant le domaine médical. Trois indices laissent penser qu’il n’en existait pas : l’absence de tout système d’information médical, l’échec jamais corrigé de deux outils tableur et l’absence d’appui informatique dédié.</w:t>
      </w:r>
    </w:p>
    <w:p>
      <w:pPr>
        <w:spacing w:after="80"/>
      </w:pPr>
    </w:p>
    <w:p>
      <w:pPr>
        <w:spacing w:after="120" w:line="300"/>
        <w:jc w:val="both"/>
      </w:pPr>
      <w:r>
        <w:rPr>
          <w:rFonts w:ascii="Times New Roman" w:cs="Times New Roman" w:eastAsia="Times New Roman" w:hAnsi="Times New Roman"/>
          <w:b/>
          <w:bCs/>
          <w:i/>
          <w:iCs/>
          <w:sz w:val="20"/>
          <w:szCs w:val="20"/>
        </w:rPr>
        <w:t xml:space="preserve">4.5 L’infrastructure réseau et le parc matériel</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1re phrase redisait le § 1.4 mot pour mot.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Comme l’établit le chapitre 1, aucun système d’information ne reliait les deux sites : chacun fonctionnait avec ses propres fichiers. Nous n’avons pas pu caractériser le réseau lui-même, les entretiens ayant porté sur les processus métier (§ 4.1).</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n’avons pas pu décrire le réseau lui-même : les entretiens portaient sur les processus métier (§ 4.1).</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Raisonnement — </w:t>
      </w:r>
      <w:r>
        <w:rPr>
          <w:rFonts w:ascii="Times New Roman" w:cs="Times New Roman" w:eastAsia="Times New Roman" w:hAnsi="Times New Roman"/>
          <w:b w:val="false"/>
          <w:bCs w:val="false"/>
          <w:i/>
          <w:iCs/>
          <w:sz w:val="20"/>
          <w:szCs w:val="20"/>
        </w:rPr>
        <w:t xml:space="preserve">RAISONNEMENT CIRCULAIRE : notre propre choix d’architecture ne peut pas « établir » qu’un problème de réseau existait. Un jury le relèverait. On dit honnêtement sur quoi repose le choix.</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versons cependant au dossier une observation indirecte. L’architecture retenue est entièrement conçue pour fonctionner sans réseau : réplication complète des données sur chaque poste, serveur applicatif embarqué, résolution automatique des conflits. On ne consent pas un tel surcoût là où la connexion serait fiable. Cela établit qu’un problème de connectivité existait, sans en établir ni l’ampleur ni la fréquence.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Notre choix de faire fonctionner le système sans réseau ne repose donc pas sur une mesure, mais sur la prudence : dans un centre de soins, une coupure de connexion ne doit jamais bloquer l’accueil des patients. Un fait va dans ce sens : pendant le stage, le site de Moutela faisait l’objet de travaux d’extension de sa couverture réseau. Le réseau existait donc, mais il ne couvrait pas encore tout le site.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Structure — </w:t>
      </w:r>
      <w:r>
        <w:rPr>
          <w:rFonts w:ascii="Times New Roman" w:cs="Times New Roman" w:eastAsia="Times New Roman" w:hAnsi="Times New Roman"/>
          <w:b w:val="false"/>
          <w:bCs w:val="false"/>
          <w:i/>
          <w:iCs/>
          <w:sz w:val="20"/>
          <w:szCs w:val="20"/>
        </w:rPr>
        <w:t xml:space="preserve">Le fait sur le réseau de Moutela est passé au paragraphe précédent ; « d’ailleurs » reliait deux idées sans rapport.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parc recensé couvre l’ensemble des implantations de SARIS-CONGO, et non le seul centre médical. Pendant la période du stage, le site de Moutela faisait d’ailleurs l’objet de travaux d’extension de sa couverture réseau : le réseau existait, mais sa couverture n’était pas complète.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parc recensé couvre l’ensemble des implantations de SARIS-CONGO, et non le seul centre médical.</w:t>
      </w:r>
    </w:p>
    <w:p>
      <w:pPr>
        <w:spacing w:after="80"/>
      </w:pPr>
    </w:p>
    <w:p>
      <w:pPr>
        <w:spacing w:after="120" w:line="300"/>
        <w:jc w:val="both"/>
      </w:pPr>
      <w:r>
        <w:rPr>
          <w:rFonts w:ascii="Times New Roman" w:cs="Times New Roman" w:eastAsia="Times New Roman" w:hAnsi="Times New Roman"/>
          <w:b/>
          <w:bCs/>
          <w:i/>
          <w:iCs/>
          <w:sz w:val="20"/>
          <w:szCs w:val="20"/>
        </w:rPr>
        <w:t xml:space="preserve">4.6 Les applications et outils en usage</w:t>
      </w: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 Anti-virus » s’écrit « antivirus » ; espace en trop.</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Protection des postes (Anti-virus) </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Protection des postes (antivirus)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 package Microsoft office » : anglicisme et majuscule manquante.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Suite bureautique : package Microsoft office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Suite bureautique : Microsoft Office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commençant par « Et » ; on précise quelle était la seconde tentative.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n’est donc pas un outil imparfait, mais un outil qui ne remplit pas sa fonction première : un système de gestion de stock qui perd ses données est un système sans mémoire. Et la même cause avait déjà fait échouer une seconde tentative d’outillage.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n’est donc pas un outil imparfait, mais un outil qui ne remplit pas sa fonction première : un système de gestion de stock qui perd ses données est un système sans mémoire. La même cause avait d’ailleurs fait échouer une seconde tentative : le logiciel de facturation.</w:t>
      </w:r>
    </w:p>
    <w:p>
      <w:pPr>
        <w:spacing w:after="80"/>
      </w:pPr>
    </w:p>
    <w:p>
      <w:pPr>
        <w:spacing w:after="120" w:line="300"/>
        <w:jc w:val="both"/>
      </w:pPr>
      <w:r>
        <w:rPr>
          <w:rFonts w:ascii="Times New Roman" w:cs="Times New Roman" w:eastAsia="Times New Roman" w:hAnsi="Times New Roman"/>
          <w:b/>
          <w:bCs/>
          <w:i/>
          <w:iCs/>
          <w:sz w:val="20"/>
          <w:szCs w:val="20"/>
        </w:rPr>
        <w:t xml:space="preserve">4.8 Les dix-huit besoins recueillis</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Le paragraphe suivant (une seule phrase) est fusionné ici.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entretiens ont produit dix-huit besoins, dont huit de priorité haute. Un besoin exprimé a été formulé explicitement par un interlocuteur ; un besoin induit a été déduit d’un problème constaté, sans que l’interlocuteur en formule la solution ; un besoin spontané a été mentionné hors du questionnement prévu.</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entretiens ont produit dix-huit besoins, dont huit de priorité haute. Chaque besoin a une source. Un besoin exprimé a été formulé explicitement par un interlocuteur. Un besoin induit a été déduit d’un problème constaté, sans que l’interlocuteur en formule la solution. Un besoin spontané a été mentionné en dehors des questions prévues. Un besoin induit engage donc la responsabilité de l’analyste, alors qu’un besoin exprimé engage celle du terrain.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Fusionné avec le paragraphe précédent.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 besoin induit engage donc l’analyste, tandis qu’un besoin exprimé engage le terrain.</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Grammaire — </w:t>
      </w:r>
      <w:r>
        <w:rPr>
          <w:rFonts w:ascii="Times New Roman" w:cs="Times New Roman" w:eastAsia="Times New Roman" w:hAnsi="Times New Roman"/>
          <w:b w:val="false"/>
          <w:bCs w:val="false"/>
          <w:i/>
          <w:iCs/>
          <w:sz w:val="20"/>
          <w:szCs w:val="20"/>
        </w:rPr>
        <w:t xml:space="preserve">Accord : « des rapports hebdomadaires, mensuels et annuels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Automatisation des rapports hebdomadaire, mensuel et annuel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Automatisation des rapports hebdomadaires, mensuels et annuels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3 / 2 / 3 n’est pas une répartition « égale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Sur les huit besoins de priorité haute, trois relèvent du domaine médical, deux de l’administratif et trois du pharmaceutique. L’urgence était donc également répartie : nous avons suivi la cohérence fonctionnelle plutôt que la priorité déclarée.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Sur les huit besoins de priorité haute, trois relèvent du domaine médical, deux de l’administratif et trois du pharmaceutique. L’urgence était donc répartie à peu près également : nous avons suivi la cohérence fonctionnelle plutôt que la priorité déclarée.</w:t>
      </w:r>
    </w:p>
    <w:p>
      <w:pPr>
        <w:spacing w:after="80"/>
      </w:pPr>
    </w:p>
    <w:p>
      <w:pPr>
        <w:spacing w:after="120" w:line="300"/>
        <w:jc w:val="both"/>
      </w:pPr>
      <w:r>
        <w:rPr>
          <w:rFonts w:ascii="Times New Roman" w:cs="Times New Roman" w:eastAsia="Times New Roman" w:hAnsi="Times New Roman"/>
          <w:b/>
          <w:bCs/>
          <w:i/>
          <w:iCs/>
          <w:sz w:val="20"/>
          <w:szCs w:val="20"/>
        </w:rPr>
        <w:t xml:space="preserve">4.9 Forces et faiblesses de la situation actuelle</w:t>
      </w: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Même tournure (« ce qui manquait n’était pas la méthode ») qu’au § 4.3 et dans l’introduction.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dispositif fonctionnait donc, et il était même méthodique. Ce qui lui manquait n’était pas la méthode, mais la mémoire : la capacité à retrouver, à recouper, à prouver et à compter. Un carnet perdu, et l’historique disparaissait. Un patient changeant de site, et il redevenait inconnu. Une prescription contestée, et rien ne permettait d’établir qui l’avait autorisée. Un rapport annuel demandé, et il fallait dépouiller à la main. C’est ce déficit de mémoire — informationnelle, organisationnelle et probatoire — que nous visons à combler.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dispositif fonctionnait donc, et il était même méthodique. Son vrai manque était la mémoire : la capacité à retrouver, à recouper, à prouver et à compter. Un carnet perdu, et l’historique disparaissait. Un patient changeant de site, et il redevenait inconnu. Une prescription contestée, et rien ne permettait d’établir qui l’avait autorisée. Un rapport annuel demandé, et il fallait dépouiller à la main. C’est ce déficit de mémoire — informationnelle, organisationnelle et probatoire — que notre système doit combler.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Redit le § 4.1 (« les problèmes ne sont pas chiffrés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critique reste qualitative, le recueil ne chiffrant pas les problèmes (§ 4.1).</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3e résumé du même constat, juste avant la conclusion ; et ses « trois constats » ne sont pas ceux de l’introduction, ce qui prête à confusion.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Trois constats s’en dégagent : aucun système d’information médical, alors que l’entreprise exploitait un parc applicatif structuré ; deux outils informatiques qui avaient échoué pour la même raison, la perte des données d’une session à l’autre ; des échanges avec le service administratif réduits au papier et à l’oral, sans trace ni suivi.</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iCs/>
          <w:sz w:val="20"/>
          <w:szCs w:val="20"/>
        </w:rPr>
        <w:t xml:space="preserve">4.10 Propositions de solutions et solution retenue</w:t>
      </w: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La solution B (libre) n’a pas de licence (tableau 4.11) : « tout en payant une licence » ne vaut que pour A.</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 règle de prise en charge est d’abord propre à l’entreprise : aucun progiciel générique ne la porte, et l’y ajouter reviendrait à développer sur mesure tout en payant une licence. Le fonctionnement sans connexion doit ensuite être réconciliable, et c’est le point qui élimine les trois autres options : un système centralisé s’arrête quand le réseau tombe ; le tableur continue, mais il fragmente et ne conserve même pas ce qu’il a enregistré. Seule une architecture répliquée avec résolution de conflit permet de travailler sans réseau, puis de retrouver une donnée cohérente.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règle de prise en charge est d’abord propre à l’entreprise : aucun progiciel générique ne la porte, et l’y ajouter reviendrait de toute façon à développer sur mesure. Le fonctionnement sans connexion doit ensuite être réconciliable, et c’est le point qui élimine les trois autres options : un système centralisé s’arrête quand le réseau tombe ; le tableur continue, mais il fragmente et ne conserve même pas ce qu’il a enregistré. Seule une architecture répliquée avec résolution de conflit permet de travailler sans réseau, puis de retrouver une donnée cohérente.</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Ces constats » sans antécédent ; « déplace la question du remplacement vers la construction » : abstrait.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Ces constats ont une portée commune. L’information existait, mais elle ne franchissait aucune des trois frontières qui comptent pour le soin : d’une visite à la suivante, elle dépendait du carnet que le patient conservait lui-même ; d’un site à l’autre, elle ne circulait pas ; du centre vers l’administration, elle ne laissait aucune trace exploitable. L’état des lieux ne décrit donc pas un système d’information défaillant, mais l’absence de système d’information — ce qui déplace la question du remplacement vers la construction.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constats de ce chapitre ont un point commun. L’information existait, mais elle ne franchissait aucune des trois frontières qui comptent pour le soin : d’une visite à la suivante, elle dépendait du carnet que le patient conservait lui-même ; d’un site à l’autre, elle ne circulait pas ; du centre vers l’administration, elle ne laissait aucune trace exploitable. Le centre ne souffrait donc pas d’un système d’information défaillant, mais de l’absence de tout système d’information : il ne s’agit pas d’en remplacer un, mais d’en construire un.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La conclusion citait trois raisons différentes des trois contraintes posées au § 4.10 (règle, hors connexion, confidentialité).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dix-huit besoins recueillis couvrent trois métiers. Nous avons retenu le parcours de soin et un développement sur mesure fonctionnant sans connexion : c’est la seule option qui satisfait à la fois la continuité de service, la cohérence entre les sites et la règle de prise en charge propre à l’entreprise. Le chapitre suivant formalise les besoins de cette solution.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dix-huit besoins recueillis couvrent trois métiers. Nous avons retenu le parcours de soin et un développement sur mesure fonctionnant sans connexion : c’est la seule option qui réunit les trois exigences établies au § 4.10, à savoir la règle de prise en charge propre à l’entreprise, le travail sans connexion suivi d’une réconciliation des données et une confidentialité garantie par le système. Le chapitre suivant formalise les besoins de cette solution.</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5 — ANALYSE ET SPÉCIFICATION DES BESOINS</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besoins exprimés » désignait ici les 18 besoins, alors qu’au ch. 4 « exprimé » est l’une des trois sources (exprimé / induit / spontané).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L’analyse des besoins est la première étape formelle de la branche fonctionnelle de 2TUP : elle transforme une compréhension du métier en exigences numérotées, en acteurs identifiés et en cas d’utilisation spécifiés, sur lesquels s’appuie toute la conception. Nous avons établi les besoins par deux voies complémentaires. Les besoins exprimés proviennent du recueil de l’existant : ils disent ce que le centre demandait. Les besoins reconstitués proviennent de l’analyse du système réalisé — routes, permissions, écrans, règles — et disent ce que le système réalise.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L’analyse des besoins est la première étape formelle de la branche fonctionnelle de 2TUP. Elle transforme une compréhension du métier en exigences numérotées, en acteurs identifiés et en cas d’utilisation spécifiés, sur lesquels s’appuie toute la conception. Nous avons établi les besoins par deux voies complémentaires. Les besoins recueillis viennent des entretiens : ils disent ce que le centre demandait. Les besoins reconstitués viennent de l’analyse du système réalisé (routes, permissions, écrans, règles) : ils disent ce que le système fait.</w:t>
      </w:r>
    </w:p>
    <w:p>
      <w:pPr>
        <w:spacing w:after="80"/>
      </w:pPr>
    </w:p>
    <w:p>
      <w:pPr>
        <w:spacing w:after="120" w:line="300"/>
        <w:jc w:val="both"/>
      </w:pPr>
      <w:r>
        <w:rPr>
          <w:rFonts w:ascii="Times New Roman" w:cs="Times New Roman" w:eastAsia="Times New Roman" w:hAnsi="Times New Roman"/>
          <w:b/>
          <w:bCs/>
          <w:i/>
          <w:iCs/>
          <w:sz w:val="20"/>
          <w:szCs w:val="20"/>
        </w:rPr>
        <w:t xml:space="preserve">5.1 Des processus métier aux besoins</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Phrase isolée, fusionnée avec le paragraphe suivant.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Quelle que soit leur origine, les besoins sont organisés selon une règle unique : le processus de soin.</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Fusion avec la phrase isolée qui précédait.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suivons le parcours du patient décrit au chapitre 4 — l’accueil et le triage, le recueil clinique, la consultation et la décision, la prescription, la sortie et le suivi. À chaque étape correspondent les besoins fonctionnels qu’elle met en jeu : ce que l’acteur doit pouvoir faire pour mener l’étape à son terme. S’y ajoutent les besoins que tout le parcours suppose : l’accès des agents, les référentiels médicaux, le dossier du patient. Chaque besoin porte un identifiant, de BF01 à BF23, et une preuve dans le système réalisé, pour qu’aucun ne soit déclaré sans être vérifiable.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Quelle que soit leur origine, les besoins sont classés selon une seule règle : le processus de soin. Nous suivons le parcours du patient décrit au chapitre 4 : l’accueil et le triage, le recueil clinique, la consultation et la décision, la prescription, la sortie et le suivi. À chaque étape correspondent les besoins fonctionnels qu’elle met en jeu, c’est-à-dire ce que l’acteur doit pouvoir faire pour la mener à son terme. S’y ajoutent les besoins que tout le parcours suppose : l’accès des agents, les référentiels médicaux, le dossier du patient. Chaque besoin porte un identifiant, de BF01 à BF23, et une preuve dans le système réalisé, pour qu’aucun ne soit déclaré sans être vérifiable.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Quatre tiennent l’accès… Trois tiennent les données » : verbe mal choisi.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Neuf besoins ne se rattachent à aucune étape du parcours : ils le précèdent. Quatre tiennent l’accès au système — authentifier les agents (BF01), gérer les comptes, les rôles et les habilitations (BF02), journaliser les actions sensibles (BF03), paramétrer le système (BF04). Trois tiennent les données de référence sans lesquelles aucun acte ne peut être posé : les référentiels métier (BF05), le personnel médical et ses délégations (BF06), le registre des employés (BF07). Les deux derniers portent l’objet central du domaine : le dossier patient centralisé (BF08) et le rattachement des ayants droit et des sous-traitants (BF09).</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Neuf besoins ne se rattachent à aucune étape du parcours : ils le précèdent. Quatre concernent l’accès au système — authentifier les agents (BF01), gérer les comptes, les rôles et les habilitations (BF02), journaliser les actions sensibles (BF03), paramétrer le système (BF04). Trois concernent les données de référence sans lesquelles aucun acte ne peut être posé : les référentiels métier (BF05), le personnel médical et ses délégations (BF06), le registre des employés (BF07). Les deux derniers portent l’objet central du domaine : le dossier patient centralisé (BF08) et le rattachement des ayants droit et des sous-traitants (BF09).</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L’infirmière » ici, « l’infirmier » au paragraphe suivant : pour l’acteur du système, on garde « l’infirmier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parcours commence à l’accueil. L’infirmière enregistre la visite et place le patient dans la file par ordre d’arrivée (BF10). Elle relève ensuite les constantes vitales, dont chaque valeur est contrôlée à la saisie (BF11).</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parcours commence à l’accueil. L’infirmier enregistre la visite et place le patient dans la file par ordre d’arrivée (BF10). Elle relève ensuite les constantes vitales, dont chaque valeur est contrôlée à la saisie (BF11).</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 aucun besoin n’est déclaré sans preuve » était déjà dit dix lignes plus haut.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tableau ci-dessous reprend ces vingt-trois besoins par identifiant, chacun rattaché à l’élément du système qui le réalise : aucun besoin n’est déclaré sans preuve.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tableau ci-dessous reprend ces vingt-trois besoins par identifiant, chacun rattaché à l’élément du système qui le réalise.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Même correction de vocabulaire dans le titre (« recueillis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5.1.4 Confrontation des besoins exprimés au périmètre retenu</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5.1.4 Confrontation des besoins recueillis au périmètre retenu</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Même correction dans la légende du tableau 5.3.</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Tableau 5.3 — Confrontation des dix-huit besoins exprimés au périmètre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Tableau 5.3 — Confrontation des dix-huit besoins recueillis au périmètre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Même correction dans l’en-tête de colonne.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Besoin exprimé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Besoin recueilli</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Sigle — </w:t>
      </w:r>
      <w:r>
        <w:rPr>
          <w:rFonts w:ascii="Times New Roman" w:cs="Times New Roman" w:eastAsia="Times New Roman" w:hAnsi="Times New Roman"/>
          <w:b w:val="false"/>
          <w:bCs w:val="false"/>
          <w:i/>
          <w:iCs/>
          <w:sz w:val="20"/>
          <w:szCs w:val="20"/>
        </w:rPr>
        <w:t xml:space="preserve">« RH » n’est pas dans la liste des sigles.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Repos médicaux avec lien vers le service RH</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Repos médicaux avec lien vers le service des ressources humaines</w:t>
      </w:r>
    </w:p>
    <w:p>
      <w:pPr>
        <w:spacing w:after="80"/>
      </w:pPr>
    </w:p>
    <w:p>
      <w:pPr>
        <w:spacing w:after="120" w:line="300"/>
        <w:jc w:val="both"/>
      </w:pPr>
      <w:r>
        <w:rPr>
          <w:rFonts w:ascii="Times New Roman" w:cs="Times New Roman" w:eastAsia="Times New Roman" w:hAnsi="Times New Roman"/>
          <w:b/>
          <w:bCs/>
          <w:i/>
          <w:iCs/>
          <w:sz w:val="20"/>
          <w:szCs w:val="20"/>
        </w:rPr>
        <w:t xml:space="preserve">5.2 Des besoins aux cas d’utilisation</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dans un établissement de santé » : le centre EST un établissement de santé ; majuscules de « Médecin Chef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précisions s’imposent. Il n’existe pas de rôle « médecin » : tout médecin reçoit le rôle de médecin chef, aucun droit ne les séparant. L’administrateur système détient par ailleurs la totalité du catalogue de permissions, actes cliniques compris. C’est un choix de gouvernance explicite pour ce déploiement ; dans un établissement de santé, il faudrait retirer à ce rôle les permissions cliniques qui ne lui sont pas nécessaires.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précisions s’imposent. Il n’existe pas de rôle « médecin » : tout médecin reçoit le rôle de Médecin Chef, aucun droit ne les séparant. L’administrateur système détient par ailleurs la totalité du catalogue de permissions, actes cliniques compris. C’est un choix explicite pour la phase de démonstration ; avant une mise en service réelle, il faudra retirer à ce rôle les permissions cliniques dont il n’a pas besoin.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de 44 mots, difficile à suivre (« fonctionnels par leur formulation…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Cinq besoins fonctionnels — l’authentification, les habilitations, la journalisation, le paramétrage et le travail hors connexion — donnent pourtant naissance à des cas techniques : fonctionnels par leur formulation, puisqu’un acteur les déclenche, ils servent des exigences de sécurité, de traçabilité et de continuité. D’où la priorité haute de certains cas techniques : sans authentification, aucun acte de soin n’est possible.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Cinq besoins fonctionnels donnent pourtant naissance à des cas techniques : l’authentification, les habilitations, la journalisation, le paramétrage et le travail hors connexion. Un acteur les déclenche, ce qui les rend fonctionnels ; mais ils servent la sécurité, la traçabilité et la continuité. D’où la priorité haute de certains cas techniques : sans authentification, aucun acte de soin n’est possible.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Deux cas généraux sont décrits (consulter / gérer un référentiel) : c’est un seul TYPE de généralisation.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ne retenons qu’une seule généralisation. Les cas de consultation et de gestion d’un référentiel sont des généralisations de neuf variantes concrètes, une par référentiel, chacune avec ses propres permissions. Représenter ces dix-huit cas individuellement rendrait le diagramme illisible sans rien apprendre : le comportement est identique, seule l’entité change.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ne retenons qu’un seul type de généralisation. Les cas de consultation et de gestion d’un référentiel sont des généralisations de neuf variantes concrètes, une par référentiel, chacune avec ses propres permissions. Représenter ces dix-huit cas individuellement rendrait le diagramme illisible sans rien apprendre : le comportement est identique, seule l’entité change.</w:t>
      </w:r>
    </w:p>
    <w:p>
      <w:pPr>
        <w:spacing w:after="80"/>
      </w:pPr>
    </w:p>
    <w:p>
      <w:pPr>
        <w:spacing w:after="120" w:line="300"/>
        <w:jc w:val="both"/>
      </w:pPr>
      <w:r>
        <w:rPr>
          <w:rFonts w:ascii="Times New Roman" w:cs="Times New Roman" w:eastAsia="Times New Roman" w:hAnsi="Times New Roman"/>
          <w:b/>
          <w:bCs/>
          <w:i/>
          <w:iCs/>
          <w:sz w:val="20"/>
          <w:szCs w:val="20"/>
        </w:rPr>
        <w:t xml:space="preserve">5.3 Spécification détaillée des cas d’utilisation prioritaires</w:t>
      </w:r>
    </w:p>
    <w:p>
      <w:pPr>
        <w:spacing w:after="120" w:line="300"/>
        <w:jc w:val="both"/>
      </w:pPr>
      <w:r>
        <w:rPr>
          <w:rFonts w:ascii="Times New Roman" w:cs="Times New Roman" w:eastAsia="Times New Roman" w:hAnsi="Times New Roman"/>
          <w:b/>
          <w:bCs/>
          <w:i w:val="false"/>
          <w:iCs w:val="false"/>
          <w:color w:val="1F4E79"/>
          <w:sz w:val="20"/>
          <w:szCs w:val="20"/>
        </w:rPr>
        <w:t xml:space="preserve">Contradiction — </w:t>
      </w:r>
      <w:r>
        <w:rPr>
          <w:rFonts w:ascii="Times New Roman" w:cs="Times New Roman" w:eastAsia="Times New Roman" w:hAnsi="Times New Roman"/>
          <w:b w:val="false"/>
          <w:bCs w:val="false"/>
          <w:i/>
          <w:iCs/>
          <w:sz w:val="20"/>
          <w:szCs w:val="20"/>
        </w:rPr>
        <w:t xml:space="preserve">La pharmacienne n’utilise pas le système (tableau 1.4) ; la délivrance (UC44) est enregistrée par le Médecin Chef (tableau 5.9).</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scénarios alternatifs existent. L’annulation avant délivrance fait passer le bon à l’état annulé, avec un motif obligatoire. La délivrance, lorsque le pharmacien remet les médicaments, fait passer le bon à l’état délivré, qui est définitif.</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scénarios alternatifs existent. L’annulation avant délivrance fait passer le bon à l’état annulé, avec un motif obligatoire. La délivrance, enregistrée par le Médecin Chef une fois les médicaments remis (UC44), fait passer le bon à l’état délivré, qui est définitif.</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Phrase commençant par « Et » ; le couplage des deux machines à états est un autre sujet : nouveau paragraphe.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exceptions existent. Le système refuse toute modification d’un état terminal. Et il refuse de créer une seconde évacuation tant que la première n’est pas annulée. Le couplage entre les deux machines à états est le point le plus important de ce cas. Une visite ne peut pas être clôturée depuis l’écran de triage : seule la clôture d’une consultation y parvient. Cette contrainte est inscrite dans la table des transitions. Elle garantit qu’aucun patient ne sort du circuit sans qu’un acte clinique ait été enregistré.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exceptions existent : le système refuse toute modification d’un état terminal, et il refuse de créer une seconde évacuation tant que la première n’est pas annulée.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Deuxième moitié de l’ancien paragraphe, inchangée.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(nouveau paragraphe)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couplage entre les deux machines à états est le point le plus important de ce cas. Une visite ne peut pas être clôturée depuis l’écran de triage : seule la clôture d’une consultation y parvient. Cette contrainte est inscrite dans la table des transitions. Elle garantit qu’aucun patient ne sort du circuit sans qu’un acte clinique ait été enregistré.</w:t>
      </w:r>
    </w:p>
    <w:p>
      <w:pPr>
        <w:spacing w:after="80"/>
      </w:pPr>
    </w:p>
    <w:p>
      <w:pPr>
        <w:spacing w:after="120" w:line="300"/>
        <w:jc w:val="both"/>
      </w:pPr>
      <w:r>
        <w:rPr>
          <w:rFonts w:ascii="Times New Roman" w:cs="Times New Roman" w:eastAsia="Times New Roman" w:hAnsi="Times New Roman"/>
          <w:b/>
          <w:bCs/>
          <w:i/>
          <w:iCs/>
          <w:sz w:val="20"/>
          <w:szCs w:val="20"/>
        </w:rPr>
        <w:t xml:space="preserve">5.4 Diagrammes de séquence système</w:t>
      </w: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 au Tableau 5.13 » : minuscule dans le texte, comme ailleurs.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second retient la synchronisation d’un poste local. C’est le seul cas dont l’acteur principal est un système, et le seul à comporter une résolution de conflit. La connexion, qui est l’enchaînement le plus ramifié du système, est décrite au Tableau 5.13 plutôt que par un diagramme. Ses quatre branches optionnelles et ses trois cas d’erreur s’y lisent plus précisément.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second retient la synchronisation d’un poste local. C’est le seul cas dont l’acteur principal est un système, et le seul à comporter une résolution de conflit. La connexion, qui est l’enchaînement le plus ramifié du système, est décrite au tableau 5.13 plutôt que par un diagramme. Ses quatre branches optionnelles et ses trois cas d’erreur s’y lisent plus précisément.</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distingue la permission d’agir de l’autorisation d’agir » : incompréhensible pour un lecteur non initié.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règles gouvernent l’ensemble, et devront être portées telles quelles dans la conception. La première est l’éligibilité par catégorie de patient. La seconde est le contrôle de prescription à deux étages, qui distingue la permission d’agir de l’autorisation d’agir. Le chapitre suivant présente l’architecture technique qui doit porter ce modèle.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règles gouvernent l’ensemble, et devront être portées telles quelles dans la conception. La première est l’éligibilité par catégorie de patient. La seconde est le contrôle de la prescription en deux étages : il ne suffit pas que le rôle de l’agent lui permette de prescrire ; pour un infirmier, une délégation active doit aussi l’y autoriser ce jour-là. Le chapitre suivant présente l’architecture technique qui doit porter ce modèle.</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6 — ARCHITECTURE TECHNIQUE DU SYSTÈME</w:t>
      </w:r>
    </w:p>
    <w:p>
      <w:pPr>
        <w:spacing w:after="120" w:line="300"/>
        <w:jc w:val="both"/>
      </w:pPr>
      <w:r>
        <w:rPr>
          <w:rFonts w:ascii="Times New Roman" w:cs="Times New Roman" w:eastAsia="Times New Roman" w:hAnsi="Times New Roman"/>
          <w:b/>
          <w:bCs/>
          <w:i w:val="false"/>
          <w:iCs w:val="false"/>
          <w:color w:val="1F4E79"/>
          <w:sz w:val="20"/>
          <w:szCs w:val="20"/>
        </w:rPr>
        <w:t xml:space="preserve">Grammaire — </w:t>
      </w:r>
      <w:r>
        <w:rPr>
          <w:rFonts w:ascii="Times New Roman" w:cs="Times New Roman" w:eastAsia="Times New Roman" w:hAnsi="Times New Roman"/>
          <w:b w:val="false"/>
          <w:bCs w:val="false"/>
          <w:i/>
          <w:iCs/>
          <w:sz w:val="20"/>
          <w:szCs w:val="20"/>
        </w:rPr>
        <w:t xml:space="preserve">« Et de le porter dans les conditions… » : phrase sans verbe principal.</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chapitre part des contraintes d’exploitation du centre pour définir l’architecture du système. Le chapitre précédent a établi le modèle du métier : trois acteurs, soixante-cinq cas d’utilisation, deux règles centrales. Nous devons maintenant concevoir l’architecture technique capable de le porter. Et de le porter dans les conditions les plus contraignantes : sans connexion, sur deux sites, avec des données de santé à protéger.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chapitre part des contraintes d’exploitation du centre pour définir l’architecture du système. Le chapitre précédent a établi le modèle du métier : trois acteurs, soixante-cinq cas d’utilisation, deux règles centrales. Il faut maintenant concevoir l’architecture technique capable de porter ce modèle dans des conditions difficiles : sans connexion, sur deux sites, avec des données de santé à protéger.</w:t>
      </w:r>
    </w:p>
    <w:p>
      <w:pPr>
        <w:spacing w:after="80"/>
      </w:pPr>
    </w:p>
    <w:p>
      <w:pPr>
        <w:spacing w:after="120" w:line="300"/>
        <w:jc w:val="both"/>
      </w:pPr>
      <w:r>
        <w:rPr>
          <w:rFonts w:ascii="Times New Roman" w:cs="Times New Roman" w:eastAsia="Times New Roman" w:hAnsi="Times New Roman"/>
          <w:b/>
          <w:bCs/>
          <w:i/>
          <w:iCs/>
          <w:sz w:val="20"/>
          <w:szCs w:val="20"/>
        </w:rPr>
        <w:t xml:space="preserve">6.2 L’architecture applicative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bi-cible » : mot inventé ; on explique.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point remarquable est que la couche métier est bi-cible. Le même code NestJS s’exécute sur le serveur central au-dessus de PostgreSQL, et à l’intérieur du client de bureau au-dessus de SQLite. Cela évite d’écrire deux fois les règles, et donc de les faire diverger.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point remarquable est que la couche métier a une double cible. Le même code NestJS s’exécute sur le serveur central au-dessus de PostgreSQL, et à l’intérieur du client de bureau au-dessus de SQLite. Cela évite d’écrire deux fois les règles, et donc de les faire diverger.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 Cette bi-cible » ; la dernière phrase (dépôt de code) introduit le tableau 6.2 : paragraphe à part.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Cette bi-cible a toutefois un coût, visible dans le code. Certaines options de requête existent dans un moteur et sont refusées par l’autre : la recherche insensible à la casse en est l’exemple type, Prisma ne l’acceptant que sur PostgreSQL. Le système n’injecte donc l’option que sur le moteur qui l’exige. Sans cette précaution, toute recherche ferait échouer le poste autonome. Le code est réuni dans un dépôt unique, organisé en six paquets et orchestré par pnpm et Turborepo.</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double usage a toutefois un coût, visible dans le code. Certaines options de requête sont acceptées par un moteur et refusées par l’autre. La recherche qui ne tient pas compte des majuscules en est l’exemple type : Prisma ne l’accepte que sur PostgreSQL. Le système n’ajoute donc cette option que sur le moteur qui l’accepte ; sans cette précaution, toute recherche ferait échouer le poste autonome.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Dernière phrase de l’ancien paragraphe, placée juste avant le tableau 6.2.</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(nouveau paragraphe)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code est réuni dans un dépôt unique, organisé en six paquets et orchestré par pnpm et Turborepo.</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Ponctuation — </w:t>
      </w:r>
      <w:r>
        <w:rPr>
          <w:rFonts w:ascii="Times New Roman" w:cs="Times New Roman" w:eastAsia="Times New Roman" w:hAnsi="Times New Roman"/>
          <w:b w:val="false"/>
          <w:bCs w:val="false"/>
          <w:i/>
          <w:iCs/>
          <w:sz w:val="20"/>
          <w:szCs w:val="20"/>
        </w:rPr>
        <w:t xml:space="preserve">Virgule inutile avant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paquet de types est le pivot de la maintenabilité. Le catalogue des 130 permissions y est déclaré une seule fois. La logique de résolution de conflit y est écrite sous forme de fonctions sans effet de bord : elles sont donc testables, et réutilisables des deux côtés de la synchronisation.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paquet de types est le pivot de la maintenabilité. Le catalogue des 130 permissions y est déclaré une seule fois. La logique de résolution de conflit y est écrite sous forme de fonctions sans effet de bord : elles sont donc testables et réutilisables des deux côtés de la synchronisation.</w:t>
      </w:r>
    </w:p>
    <w:p>
      <w:pPr>
        <w:spacing w:after="80"/>
      </w:pPr>
    </w:p>
    <w:p>
      <w:pPr>
        <w:spacing w:after="120" w:line="300"/>
        <w:jc w:val="both"/>
      </w:pPr>
      <w:r>
        <w:rPr>
          <w:rFonts w:ascii="Times New Roman" w:cs="Times New Roman" w:eastAsia="Times New Roman" w:hAnsi="Times New Roman"/>
          <w:b/>
          <w:bCs/>
          <w:i/>
          <w:iCs/>
          <w:sz w:val="20"/>
          <w:szCs w:val="20"/>
        </w:rPr>
        <w:t xml:space="preserve">6.3 L’architecture de sécurité</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 sujets (permissions protégées / journal d’audit) ; « inadministrable » n’existe pas.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Certaines permissions sont enfin protégées contre leur propre retrait. Dix permissions de gouvernance ne peuvent être retirées ni par un administrateur à lui-même, ni au dernier administrateur actif. Sans cette protection, une fausse manœuvre rendrait la plateforme inadministrable. Notre audit repose sur un intercepteur global. Il journalise chaque modification effectuée sur un contrôleur annoté, en capturant l’auteur, l’action, le module, l’entité, l’adresse réseau réelle et le statut de l’opération. Cent cinquante et une routes sur deux cent soixante-treize sont ainsi couvertes.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Certaines permissions sont enfin protégées contre leur propre retrait. Dix permissions de gouvernance ne peuvent être retirées ni par un administrateur à lui-même, ni au dernier administrateur actif. Sans cette protection, une fausse manœuvre rendrait la plateforme impossible à administrer.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Notre audit repose sur un intercepteur global. Il journalise chaque modification effectuée sur un contrôleur annoté, en capturant l’auteur, l’action, le module, l’entité, l’adresse réseau réelle et le statut de l’opération. Cent cinquante et une routes sur deux cent soixante-treize sont ainsi couvertes.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commençant par « Et » ; les deux propriétés sont annoncées clairement.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propriétés en font une preuve exploitable. L’intercepteur n’interrompt jamais la requête métier : un échec d’écriture du journal ne fait donc pas échouer l’acte de soin. Et seul cet intercepteur écrit dans le journal, aucune route n’y donnant accès : on ne peut donc pas falsifier l’audit depuis l’interface.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propriétés en font une preuve exploitable. D’abord, l’intercepteur n’interrompt jamais la requête métier : un échec d’écriture du journal ne fait donc pas échouer l’acte de soin. Ensuite, seul cet intercepteur écrit dans le journal, aucune route n’y donnant accès : on ne peut donc pas falsifier l’audit depuis l’interface.</w:t>
      </w:r>
    </w:p>
    <w:p>
      <w:pPr>
        <w:spacing w:after="80"/>
      </w:pPr>
    </w:p>
    <w:p>
      <w:pPr>
        <w:spacing w:after="120" w:line="300"/>
        <w:jc w:val="both"/>
      </w:pPr>
      <w:r>
        <w:rPr>
          <w:rFonts w:ascii="Times New Roman" w:cs="Times New Roman" w:eastAsia="Times New Roman" w:hAnsi="Times New Roman"/>
          <w:b/>
          <w:bCs/>
          <w:i/>
          <w:iCs/>
          <w:sz w:val="20"/>
          <w:szCs w:val="20"/>
        </w:rPr>
        <w:t xml:space="preserve">6.4 Le moteur de synchronisation</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Phrases courtes enchaînées sans liaison ; la dernière phrase (46 entités) appartient au paragraphe suivant.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Trois propriétés en découlent. Aucun blocage n’est possible. Il n’existe pas de verrou distribué entre des machines dont certaines sont hors ligne. Un conflit est donc tranché puis journalisé pour revue, jamais mis en attente. Une suppression est une modification comme une autre : sa marque porte son propre horodatage. L’horodatage d’origine est enfin restauré après application. Sans cela, le mécanisme automatique de datation invaliderait tout le raisonnement de comparaison. Quarante-six des quatre-vingt-huit entités sont synchronisées : quarante-deux en portée globale et quatre par site.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Trois propriétés en découlent. Aucun blocage n’est possible : il n’existe pas de verrou partagé entre des machines dont certaines sont hors ligne, et un conflit est donc tranché puis journalisé pour revue, jamais mis en attente. Une suppression est une modification comme une autre : sa marque porte son propre horodatage. Enfin, l’horodatage d’origine est restauré après application ; sans cela, la datation automatique fausserait toutes les comparaisons.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Deux « quarante-deux » différents à trois lignes d’écart prêtaient à confusion ; la portée globale redisait le § 2.4 sans le citer.</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point décisif est que le dossier patient et tout le parcours de soin sont en portée globale. Chaque poste détient donc la totalité des dossiers des deux sites. C’est ce qui rend possible la continuité entre Moutela et Nkayi, même hors connexion. Les quarante-deux entités restantes, non synchronisées, sont locales à leur instance : journaux, notifications, sessions, préférences, paramètres, et tables de la synchronisation elle-même.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Sur les quatre-vingt-huit entités, quarante-six sont synchronisées : quatre restent propres à chaque site, toutes les autres sont communes aux deux sites. Comme annoncé au § 2.4, le dossier patient et tout le parcours de soin sont communs : chaque poste détient la totalité des dossiers des deux sites, ce qui assure la continuité entre Moutela et Nkayi, même hors connexion. Les quarante-deux entités restantes, non synchronisées, sont locales à leur instance : journaux, notifications, sessions, préférences, paramètres et tables de la synchronisation elle-même.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commençant par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serveur central expose enfin un flux d’événements serveur (SSE) qui ne transporte aucune donnée. Il signale seulement qu’il y a du neuf, et l’identité de celui qui l’a produit. Les postes abonnés déclenchent alors une synchronisation, qui repasse par les contrôles d’accès habituels. Un canal muet ne peut rien divulguer. Et le poste à l’origine d’une écriture n’est pas réveillé pour son propre travail.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serveur central expose enfin un flux d’événements serveur (SSE) qui ne transporte aucune donnée. Il signale seulement qu’il y a du neuf, et l’identité de celui qui l’a produit. Les postes abonnés déclenchent alors une synchronisation, qui repasse par les contrôles d’accès habituels. Un canal muet ne peut rien divulguer. De plus, le poste qui a produit une écriture n’est pas réveillé pour son propre travail.</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Ce paragraphe était repris presque mot pour mot au § 7.8 (sixième difficulté) : ici, une phrase et un renvoi.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 battement régulier maintient le canal ouvert, car les équipements réseau intermédiaires coupent les connexions silencieuses au bout d’une minute environ. Ce battement porte un type différent de celui de la notification. Sans cela, les postes se synchroniseraient à chaque battement.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 battement régulier maintient enfin ce canal ouvert, malgré les équipements réseau qui coupent les connexions silencieuses ; le § 7.8 en explique la raison.</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bi-cible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chapitre a traité la branche technique de 2TUP, indépendamment des fonctions à rendre. L’architecture répond à la contrainte dominante — la connectivité variable des deux sites — par une couche métier bi-cible, exécutée aussi bien sur le serveur central que dans le poste autonome, et par deux mécanismes hors connexion adaptés chacun à son contexte. La sécurité est organisée en neuf niveaux successifs, dont un journal d’audit qui n’interrompt jamais l’acte de soin.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chapitre a traité la branche technique de 2TUP, indépendamment des fonctions à rendre. L’architecture répond à la contrainte dominante — la connectivité variable des deux sites — par une couche métier à double cible, exécutée aussi bien sur le serveur central que dans le poste autonome, et par deux mécanismes hors connexion adaptés chacun à son contexte. La sécurité est organisée en neuf niveaux successifs, dont un journal d’audit qui n’interrompt jamais l’acte de soin.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commençant par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décisions techniques engagent la suite. La suppression logique généralisée permet à un effacement de se propager jusqu’aux postes hors ligne. Et la résolution par dernière écriture gagnante, combinée à la portée globale du dossier patient, rend possible la continuité entre les deux sites sans verrou distribué. Le chapitre suivant projette le modèle du métier sur cette architecture, puis rend compte de sa réalisation.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décisions techniques engagent la suite. La suppression logique généralisée permet à un effacement de se propager jusqu’aux postes hors ligne. La résolution par dernière écriture gagnante, combinée à la portée globale du dossier patient, rend possible la continuité entre les deux sites sans verrou distribué. Le chapitre suivant projette le modèle du métier sur cette architecture, puis rend compte de sa réalisation.</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CHAPITRE 7 — CONCEPTION DÉTAILLÉE ET IMPLÉMENTATION</w:t>
      </w:r>
    </w:p>
    <w:p>
      <w:pPr>
        <w:spacing w:after="120" w:line="300"/>
        <w:jc w:val="both"/>
      </w:pPr>
      <w:r>
        <w:rPr>
          <w:rFonts w:ascii="Times New Roman" w:cs="Times New Roman" w:eastAsia="Times New Roman" w:hAnsi="Times New Roman"/>
          <w:b/>
          <w:bCs/>
          <w:i/>
          <w:iCs/>
          <w:sz w:val="20"/>
          <w:szCs w:val="20"/>
        </w:rPr>
        <w:t xml:space="preserve">7.1 Le modèle de classes</w:t>
      </w: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Minuscule à « tableau » dans le texte.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59 entités écartées se répartissent ainsi : 13 pour la sécurité et l’audit, 11 autour du dossier patient, 8 pour la synchronisation, 7 pour la messagerie, 7 pour le personnel, 7 pour les suivis de soin et 6 référentiels secondaires. Vingt-huit relèvent de fonctions techniques ou transverses : sécurité et audit, synchronisation, messagerie. Les autres ajoutent du détail à une entité déjà présente sur la planche, sans en changer la structure. Toutes figurent au Tableau 7.6, qui répartit les 88 tables par domaine fonctionnel.</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59 entités écartées se répartissent ainsi : 13 pour la sécurité et l’audit, 11 autour du dossier patient, 8 pour la synchronisation, 7 pour la messagerie, 7 pour le personnel, 7 pour les suivis de soin et 6 référentiels secondaires. Vingt-huit relèvent de fonctions techniques ou transverses : sécurité et audit, synchronisation, messagerie. Les autres ajoutent du détail à une entité déjà présente sur la planche, sans en changer la structure. Toutes figurent au tableau 7.6, qui répartit les 88 tables par domaine fonctionnel.</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de 72 mots : on la coupe en deux.</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packages ne sont pas étanches. Le package Sécurité n’atteint le domaine médical que par deux liens : un compte utilisateur appartient à un site, et correspond au plus à une fiche de personnel soignant ; il ne connaît ni patient ni consultation. Les référentiels alimentent tout le reste : le site enregistre le patient et accueille la visite, la catégorie classe le dossier, le soignant conduit la consultation, la délégation autorise cette consultation et couvre l’ordonnance qui en découle, la pathologie de référence nomme le diagnostic ; le médicament de référence et le type d’examen désignent enfin le produit ou l’acte porté par chaque ligne d’ordonnance, de bon de pharmacie et de bon d’examen. Le dossier patient et le parcours de soin ne se rejoignent qu’en un seul point : le patient ouvre la visite.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packages ne sont pas étanches. Le package Sécurité n’atteint le domaine médical que par deux liens : un compte utilisateur appartient à un site, et correspond au plus à une fiche de personnel soignant ; il ne connaît ni patient ni consultation. Les référentiels alimentent tout le reste : le site enregistre le patient et accueille la visite, la catégorie classe le dossier, le soignant conduit la consultation, la délégation autorise cette consultation et couvre l’ordonnance qui en découle, la pathologie de référence nomme le diagnostic. Enfin, le médicament de référence et le type d’examen désignent le produit ou l’acte porté par chaque ligne d’ordonnance, de bon de pharmacie et de bon d’examen. Le dossier patient et le parcours de soin ne se rejoignent qu’en un seul point : le patient ouvre la visite.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Seuls quatre packages ont des classes (le 5e n’en a aucune, tableau 7.1).</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cinq planches suivantes représentent chaque package — le Parcours de soin en demande deux, du fait de sa densité — et la sixième réunit l’ensemble : le modèle se lit par domaine avant de se lire en entier.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cinq planches suivantes représentent les quatre packages qui ont des classes — le Parcours de soin en demande deux, du fait de sa densité — et la sixième réunit l’ensemble : le modèle se lit par domaine avant de se lire en entier.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Grammaire — </w:t>
      </w:r>
      <w:r>
        <w:rPr>
          <w:rFonts w:ascii="Times New Roman" w:cs="Times New Roman" w:eastAsia="Times New Roman" w:hAnsi="Times New Roman"/>
          <w:b w:val="false"/>
          <w:bCs w:val="false"/>
          <w:i/>
          <w:iCs/>
          <w:sz w:val="20"/>
          <w:szCs w:val="20"/>
        </w:rPr>
        <w:t xml:space="preserve">Accord avec « évacuation » (féminin) ; « admis » se rapporte au patient.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En cours, en transport, admis, clôturé, annulé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En cours, en transport, patient admis, clôturée, annulée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même faiblesse est expliquée au § 7.4 : ici, un simple renvoi.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Quatre machines sur neuf seulement sont garanties par la base de données ; les cinq autres reposent sur des champs texte contraints par le code applicatif, faiblesse discutée au § 7.4. Quarante-sept entités sur 88 portent enfin une marque de suppression : une suppression n’efface jamais, elle horodate.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Quatre machines sur neuf seulement sont garanties par la base de données, faiblesse discutée au § 7.4. Quarante-sept entités sur 88 portent enfin une marque de suppression : une suppression n’efface jamais, elle horodate.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deux étages de contrôle » désignait ailleurs autre chose (permission + délégation) ; « droit … droits … droit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L’émission d’un bon de pharmacie fait apparaître les deux étages de contrôle : la garde de permission vérifie que l’agent a le droit d’émettre un bon, puis le service interroge la matrice des droits pour savoir si ce patient y ouvre droit.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L’émission d’un bon de pharmacie suit le même principe à deux étages : la garde vérifie d’abord que l’agent a la permission d’émettre un bon ; le service consulte ensuite la matrice des droits pour savoir si la catégorie du patient ouvre droit à la prise en charge.</w:t>
      </w:r>
    </w:p>
    <w:p>
      <w:pPr>
        <w:spacing w:after="80"/>
      </w:pPr>
    </w:p>
    <w:p>
      <w:pPr>
        <w:spacing w:after="120" w:line="300"/>
        <w:jc w:val="both"/>
      </w:pPr>
      <w:r>
        <w:rPr>
          <w:rFonts w:ascii="Times New Roman" w:cs="Times New Roman" w:eastAsia="Times New Roman" w:hAnsi="Times New Roman"/>
          <w:b/>
          <w:bCs/>
          <w:i/>
          <w:iCs/>
          <w:sz w:val="20"/>
          <w:szCs w:val="20"/>
        </w:rPr>
        <w:t xml:space="preserve">7.2 Composants, déploiement et interfaces</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L’interface web React consomme l’interface distante » : le mot « interface » désigne deux choses ; paragraphe dense.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L’architecture en composants distingue sept blocs. Le serveur applicatif NestJS expose les 273 routes HTTP et le flux SSE ; il requiert l’accès aux données et le service de géolocalisation, qui situe chaque connexion dans le journal d’authentification. L’interface web React consomme l’interface distante sans rien fournir. Le client de bureau Electron fournit la fenêtre applicative, le coffre de secrets et la mise à jour ; ses deux processus communiquent par un canal IPC restreint, seule voie ouverte entre l’interface et le poste. Il consomme soit l’interface distante, soit son serveur embarqué, qui fournit une interface limitée à la boucle locale et consomme la base SQLite.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L’architecture en composants distingue sept blocs. Le serveur applicatif NestJS expose les 273 routes HTTP et le flux SSE ; il utilise l’accès aux données et le service de géolocalisation, qui situe chaque connexion dans le journal d’authentification. L’interface web React utilise l’API sans rien fournir aux autres blocs. Le client de bureau Electron fournit la fenêtre de l’application, le coffre de secrets et la mise à jour ; ses deux processus communiquent par un canal IPC restreint, seule voie ouverte entre l’interface et le poste. Il utilise soit l’API du serveur central, soit son serveur embarqué, qui n’est joignable que depuis le poste lui-même et travaille sur la base SQLite.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 L’adresse du serveur doit être chiffrée » est inexact (c’est la connexion qui doit passer en HTTPS) ; le 3e point, isolé au paragraphe suivant, est rapatrié ici.</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déploiement distingue quatre nœuds : un serveur d’application exposé en HTTPS, un serveur PostgreSQL hébergé séparément avec liaison chiffrée, des postes clients en mode connecté, et des postes clients en mode autonome embarquant serveur et base SQLite locale. Trois points de sécurité le conditionnent. Le serveur embarqué du poste autonome n’écoute que sur la boucle locale : aucune autre machine du réseau ne peut l’interroger. L’adresse du serveur doit être chiffrée en production, sans quoi jetons d’authentification et données patient transiteraient en clair.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déploiement distingue quatre nœuds : un serveur d’application exposé en HTTPS, un serveur PostgreSQL hébergé séparément avec liaison chiffrée, des postes clients en mode connecté et des postes clients en mode autonome, qui embarquent un serveur et une base SQLite locale. Trois points de sécurité le conditionnent. Le serveur embarqué du poste autonome n’écoute que sur la boucle locale : aucune autre machine du réseau ne peut l’interroger. L’adresse du serveur central doit utiliser HTTPS en production, sans quoi les jetons d’authentification et les données des patients circuleraient en clair. Enfin, l’origine du client de bureau Electron est un schéma applicatif privilégié, déclaré autorisé côté serveur : c’est indispensable au fonctionnement du flux SSE.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Fusionné avec le paragraphe précédent.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L’origine du client de bureau Electron est enfin un schéma applicatif privilégié, déclaré autorisé côté serveur. C’est indispensable au fonctionnement du flux SSE.</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iCs/>
          <w:sz w:val="20"/>
          <w:szCs w:val="20"/>
        </w:rPr>
        <w:t xml:space="preserve">7.3 Environnement de développement et de déploiement</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jeton JWT » est un pléonasme (le T de JWT veut dire « jeton ») ; le second facteur est déjà défini au ch. 5.</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L’architecture elle-même est décrite au chapitre 6. Les échanges se font en HTTPS, imposé en production, au format JSON. L’authentification repose sur un jeton JWT signé, doublé d’un jeton de renouvellement ; les mots de passe sont hachés avec bcrypt, et une authentification à deux facteurs (2FA) par code temporel (TOTP) complète l’accès. Le tableau suivant présente les outils employés.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L’architecture elle-même est décrite au chapitre 6. Les échanges se font en HTTPS, imposé en production, au format JSON. L’authentification repose sur un jeton signé (JWT), doublé d’un jeton de renouvellement ; les mots de passe sont hachés avec bcrypt, et un second facteur par code temporel complète l’accès. Le tableau suivant présente les outils employés.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Le mémoire contient bien plus de 12 diagrammes (environ 24 planches) : le nombre est retiré.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Format ouvert : les 12 diagrammes restent modifiables sans dépendre d’un logiciel propriétaire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Format ouvert : les diagrammes restent modifiables sans dépendre d’un logiciel propriétaire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Fusion avec le paragraphe suivant ; les limites du recueil sont rappelées une seule fois.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avons conduit le développement sur un poste Windows 10 Professionnel. Le serveur d’application et le site web sont hébergés sur Render, en région Europe, et la base PostgreSQL séparément sur Neon. L’inventaire du parc et du réseau du centre reste à établir avant tout déploiement réel (§ 4.1 et § 4.5).</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avons conduit le développement sur un poste Windows 10 Professionnel. Le serveur d’application et le site web sont hébergés sur Render, en région Europe, et la base PostgreSQL séparément sur Neon. L’offre gratuite de Render met le serveur en veille après quinze minutes d’inactivité : la première requête après une période creuse subit donc un délai de réveil, contrainte acceptée pour un environnement de démonstration. L’inventaire du parc et du réseau du centre reste à faire avant tout déploiement réel (§ 4.5).</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Fusionné avec le paragraphe précédent.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L’offre gratuite de Render met enfin le serveur en veille après quinze minutes d’inactivité : la première requête après une période creuse subit un délai de réveil, contrainte assumée d’un environnement de démonstration.</w:t>
      </w:r>
    </w:p>
    <w:p>
      <w:pPr>
        <w:shd w:fill="FCE4D6"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paragraphe supprimé.</w:t>
      </w:r>
    </w:p>
    <w:p>
      <w:pPr>
        <w:spacing w:after="80"/>
      </w:pPr>
    </w:p>
    <w:p>
      <w:pPr>
        <w:spacing w:after="120" w:line="300"/>
        <w:jc w:val="both"/>
      </w:pPr>
      <w:r>
        <w:rPr>
          <w:rFonts w:ascii="Times New Roman" w:cs="Times New Roman" w:eastAsia="Times New Roman" w:hAnsi="Times New Roman"/>
          <w:b/>
          <w:bCs/>
          <w:i/>
          <w:iCs/>
          <w:sz w:val="20"/>
          <w:szCs w:val="20"/>
        </w:rPr>
        <w:t xml:space="preserve">7.4 Modélisation et implémentation de la base de données</w:t>
      </w: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 huit référentiels » : cinq seulement étaient cités, et les huit classes comprennent aussi le personnel et les délégations (tableau 7.1) ; « MERISE » s’écrit « Merise » ; paragraphe de 179 mots coupé en deux.</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modèle conceptuel ne reprend pas les vingt-neuf classes, mais les douze qui forment le noyau métier : une entité du noyau naît d’un acte de soin et disparaît avec le dossier. Une visite, une consultation, une ordonnance n’existent que parce qu’un patient s’est présenté au centre. Les dix-sept autres classes sont d’une autre nature : huit référentiels — sites, catégories de patients, médicaments, pathologies, types d’examen — saisis avant l’exploitation et stables ensuite ; cinq classes d’habilitations, qui disent qui a le droit de faire quoi ; quatre classes portant l’identité administrative du patient et l’ouverture de ses droits. Toutes sont modélisées aux figures 7.1, 7.2 et 7.3 ; seule l’entité Patient est reprise ici, parce qu’elle est la racine à laquelle tout se rattache. Conformément à la méthode MERISE, aucune clé étrangère ne figure dans le modèle conceptuel : les liens y sont portés par les associations, et ne deviennent des colonnes qu’au passage au modèle physique. Le noyau est présenté en trois planches, une par étape du parcours : le recueil, la décision médicale, la prescription.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modèle conceptuel ne reprend pas les vingt-neuf classes, mais les douze qui forment le noyau métier : une entité du noyau naît d’un acte de soin et disparaît avec le dossier. Une visite, une consultation, une ordonnance n’existent que parce qu’un patient s’est présenté au centre. Les dix-sept autres classes sont d’une autre nature : huit classes de référence et d’acteurs médicaux — sites, catégories de patients et leurs droits, médicaments, pathologies, types d’examen, personnel soignant et délégations —, saisies avant l’exploitation et stables ensuite ; cinq classes d’habilitations, qui disent qui a le droit de faire quoi ; quatre classes portant l’identité administrative du patient et l’ouverture de ses droits. Toutes sont modélisées aux figures 7.1, 7.2 et 7.3 ; seule l’entité Patient est reprise ici, parce qu’elle est la racine à laquelle tout se rattache.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Conformément à la méthode Merise, aucune clé étrangère ne figure dans le modèle conceptuel : les liens y sont portés par les associations, et ne deviennent des colonnes qu’au passage au modèle physique. Le noyau est présenté en trois planches, une par étape du parcours : le recueil, la décision médicale, la prescription.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Exactitude — </w:t>
      </w:r>
      <w:r>
        <w:rPr>
          <w:rFonts w:ascii="Times New Roman" w:cs="Times New Roman" w:eastAsia="Times New Roman" w:hAnsi="Times New Roman"/>
          <w:b w:val="false"/>
          <w:bCs w:val="false"/>
          <w:i/>
          <w:iCs/>
          <w:sz w:val="20"/>
          <w:szCs w:val="20"/>
        </w:rPr>
        <w:t xml:space="preserve">La fonction compte 23 lignes de code (44 avec les commentaires et les lignes vides).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Trois enseignements se lisent dans ces vingt lignes. Le conflit est détecté, mais il n’est jamais bloquant. La fonction tranche toujours, et confie à l’appelant le soin de journaliser l’incident. La version de départ est ce qui distingue un vrai conflit d’une simple mise à jour tardive. Sans elle, on ne saurait pas si quelqu’un d’autre est intervenu entre-temps. L’égalité stricte des horodatages produit enfin une non-action. Renvoyer un même lot reste donc sans effet. Cette propriété est indispensable quand le réseau coupe au milieu d’un envoi.</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Trois enseignements se lisent dans cette vingtaine de lignes. Le conflit est détecté, mais il n’est jamais bloquant. La fonction tranche toujours, et confie à l’appelant le soin de journaliser l’incident. La version de départ est ce qui distingue un vrai conflit d’une simple mise à jour tardive. Sans elle, on ne saurait pas si quelqu’un d’autre est intervenu entre-temps. L’égalité stricte des horodatages produit enfin une non-action. Renvoyer un même lot reste donc sans effet. Cette propriété est indispensable quand le réseau coupe au milieu d’un envoi.</w:t>
      </w:r>
    </w:p>
    <w:p>
      <w:pPr>
        <w:spacing w:after="80"/>
      </w:pPr>
    </w:p>
    <w:p>
      <w:pPr>
        <w:spacing w:after="120" w:line="300"/>
        <w:jc w:val="both"/>
      </w:pPr>
      <w:r>
        <w:rPr>
          <w:rFonts w:ascii="Times New Roman" w:cs="Times New Roman" w:eastAsia="Times New Roman" w:hAnsi="Times New Roman"/>
          <w:b/>
          <w:bCs/>
          <w:i/>
          <w:iCs/>
          <w:sz w:val="20"/>
          <w:szCs w:val="20"/>
        </w:rPr>
        <w:t xml:space="preserve">7.5 Les fonctionnalités développées</w:t>
      </w:r>
    </w:p>
    <w:p>
      <w:pPr>
        <w:spacing w:after="120" w:line="300"/>
        <w:jc w:val="both"/>
      </w:pPr>
      <w:r>
        <w:rPr>
          <w:rFonts w:ascii="Times New Roman" w:cs="Times New Roman" w:eastAsia="Times New Roman" w:hAnsi="Times New Roman"/>
          <w:b/>
          <w:bCs/>
          <w:i w:val="false"/>
          <w:iCs w:val="false"/>
          <w:color w:val="1F4E79"/>
          <w:sz w:val="20"/>
          <w:szCs w:val="20"/>
        </w:rPr>
        <w:t xml:space="preserve">Contradiction — </w:t>
      </w:r>
      <w:r>
        <w:rPr>
          <w:rFonts w:ascii="Times New Roman" w:cs="Times New Roman" w:eastAsia="Times New Roman" w:hAnsi="Times New Roman"/>
          <w:b w:val="false"/>
          <w:bCs w:val="false"/>
          <w:i/>
          <w:iCs/>
          <w:sz w:val="20"/>
          <w:szCs w:val="20"/>
        </w:rPr>
        <w:t xml:space="preserve">« Les vingt-trois besoins sont réalisés » alors que BF23 est partiel ; « trois canaux — PWA, API, client de bureau » ≠ les trois canaux du § 2.8 (web, bureau connecté, bureau autonome).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vingt-trois besoins fonctionnels du chapitre 5 sont réalisés ; leur preuve figure au Tableau 5.1. Tous sont disponibles sur les trois canaux — application web installable (PWA), API et client de bureau —, à deux exceptions près : l’impression des documents cliniques ne concerne pas l’API, et la synchronisation reste partielle côté client de bureau autonome.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Vingt-deux des vingt-trois besoins fonctionnels du chapitre 5 sont entièrement réalisés, et le dernier (BF23) l’est partiellement ; leurs preuves figurent au tableau 5.1. Ils sont disponibles sur les trois canaux décrits au § 2.8 — l’application web installable (PWA), le client de bureau connecté et le client de bureau autonome —, avec une réserve : sur le poste autonome, le travail hors connexion reste partiel. Toutes ces fonctions sont aussi accessibles par l’API, sauf l’impression des documents.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vérifié statiquement » : jargon.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 besoin partiel appelle une précision : le fonctionnement hors connexion du poste autonome est implémenté et vérifié statiquement — chemins, noms de fichiers et options de production sont cohérents de bout en bout —, mais il n’a pas été validé par une exécution complète sur une machine cible. Un code vérifié n’est pas un code éprouvé.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 besoin partiel appelle une précision : le fonctionnement hors connexion du poste autonome est implémenté et vérifié par relecture du code — chemins, noms de fichiers et options de production sont cohérents de bout en bout —, mais il n’a pas été validé par une exécution complète sur une machine cible. Un code vérifié n’est pas un code éprouvé.</w:t>
      </w:r>
    </w:p>
    <w:p>
      <w:pPr>
        <w:spacing w:after="80"/>
      </w:pPr>
    </w:p>
    <w:p>
      <w:pPr>
        <w:spacing w:after="120" w:line="300"/>
        <w:jc w:val="both"/>
      </w:pPr>
      <w:r>
        <w:rPr>
          <w:rFonts w:ascii="Times New Roman" w:cs="Times New Roman" w:eastAsia="Times New Roman" w:hAnsi="Times New Roman"/>
          <w:b/>
          <w:bCs/>
          <w:i/>
          <w:iCs/>
          <w:sz w:val="20"/>
          <w:szCs w:val="20"/>
        </w:rPr>
        <w:t xml:space="preserve">7.6 Tests et validation</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rattachées à aucune commande » : tournure maladroite.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Dix fichiers de test regroupent l’ensemble des cas écrits : cinq suites de logique pure, qui s’exécutent sans dépendance externe ; quatre suites d’intégration, qui exigent un serveur démarré et une base chargée ; et une suite qui vérifie l’amorçage complet de l’application. Le 10 août 2026, un défaut a été corrigé : deux suites, rattachées à aucune commande, ne s’exécutaient que manuellement. Les dix suites sont désormais lançables automatiquement.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Dix fichiers de test regroupent l’ensemble des cas écrits : cinq suites de logique pure, qui s’exécutent sans dépendance externe ; quatre suites d’intégration, qui exigent un serveur démarré et une base chargée ; et une suite qui vérifie l’amorçage complet de l’application. Le 10 août 2026, un défaut a été corrigé : deux suites, qu’aucune commande ne lançait, ne s’exécutaient qu’à la main. Les dix suites sont désormais lançables automatiquement.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 sujets (résultats / test périmé) ; la raison des 43 cas non exécutés était redite trois lignes après le paragraphe précédent.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Cent trois cas ont donc été exécutés avec succès, soit un taux de réussite de 100 %. Les quarante-trois cas restants relèvent des suites d’intégration, qui exigent un serveur démarré et une base chargée, indisponibles au moment de la rédaction. Le test périmé mérite d’être analysé, car le mécanisme qu’il révèle compte plus que son résultat. Il compare les plages physiologiques déclarées côté client à celles déclarées côté serveur. C’est un garde-fou contre la désynchronisation, et son commentaire le dit : si quelqu’un modifie l’un sans l’autre, le test doit casser.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Cent trois cas ont donc été exécutés avec succès, soit un taux de réussite de 100 %. Les quarante-trois cas restants appartiennent aux suites d’intégration, qui n’ont pas pu être lancées au moment de la rédaction.</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Deuxième moitié de l’ancien paragraphe, inchangée.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(nouveau paragraphe)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test périmé mérite d’être analysé, car le mécanisme qu’il révèle compte plus que son résultat. Il compare les plages physiologiques déclarées côté client à celles déclarées côté serveur. C’est un garde-fou contre la désynchronisation, et son commentaire le dit : si quelqu’un modifie l’un sans l’autre, le test doit casser.</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Doublon — </w:t>
      </w:r>
      <w:r>
        <w:rPr>
          <w:rFonts w:ascii="Times New Roman" w:cs="Times New Roman" w:eastAsia="Times New Roman" w:hAnsi="Times New Roman"/>
          <w:b w:val="false"/>
          <w:bCs w:val="false"/>
          <w:i/>
          <w:iCs/>
          <w:sz w:val="20"/>
          <w:szCs w:val="20"/>
        </w:rPr>
        <w:t xml:space="preserve">La 1re phrase redisait le paragraphe précédent (« alignés ») ; la fin annonce le tableau 7.8 : paragraphe à part.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client et le serveur étaient donc alignés : c’est le garde-fou qui avait dérivé, et il n’avait pu dériver que parce que sa suite n’était rattachée à aucune commande. Personne ne l’avait lancée depuis l’ajout de la neuvième constante. Une suite qu’on n’exécute pas cesse silencieusement de protéger ce qu’elle prétend protéger. La correction a tenu en deux lignes. Reste à dire ce que ces tests ne couvrent pas. Le tableau qui suit dénombre les cas écrits, exécutés ou non, là où le précédent ne comptait que les cas exécutés : c’est pourquoi la suppression logique y passe de dix à dix-huit.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garde-fou n’avait pu prendre du retard que parce que sa suite n’était lancée par aucune commande : personne ne l’avait exécutée depuis l’ajout de la neuvième constante. Une suite qu’on n’exécute pas cesse, sans bruit, de protéger ce qu’elle prétend protéger. La correction a tenu en deux lignes.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Fin de l’ancien paragraphe, qui introduit le tableau 7.8.</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(nouveau paragraphe)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Reste à dire ce que ces tests ne couvrent pas. Le tableau qui suit dénombre les cas écrits, exécutés ou non, là où le précédent ne comptait que les cas exécutés : c’est pourquoi la suppression logique y passe de dix à dix-huit.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Phrase commençant par « Et » ; les deux constats sont annoncés clairement.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Deux constats s’imposent. Le cœur clinique n’a aucun test automatisé exécuté : le triage, la consultation, la prescription, les bons et l’évacuation reposent sur des tests d’intégration qui n’ont pas été lancés. Et la règle d’éligibilité par catégorie n’est couverte par aucun test, alors que ce mémoire la présente partout comme la plus structurante du système. C’est la lacune la plus sérieuse de la validation.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Deux constats s’imposent. D’abord, le cœur clinique n’a aucun test automatisé exécuté : le triage, la consultation, la prescription, les bons et l’évacuation reposent sur des tests d’intégration qui n’ont pas été lancés. Ensuite, la règle d’éligibilité par catégorie n’est couverte par aucun test, alors que ce mémoire la présente partout comme la plus structurante du système. C’est la lacune la plus sérieuse de la validation.</w:t>
      </w:r>
    </w:p>
    <w:p>
      <w:pPr>
        <w:spacing w:after="80"/>
      </w:pPr>
    </w:p>
    <w:p>
      <w:pPr>
        <w:spacing w:after="120" w:line="300"/>
        <w:jc w:val="both"/>
      </w:pPr>
      <w:r>
        <w:rPr>
          <w:rFonts w:ascii="Times New Roman" w:cs="Times New Roman" w:eastAsia="Times New Roman" w:hAnsi="Times New Roman"/>
          <w:b/>
          <w:bCs/>
          <w:i/>
          <w:iCs/>
          <w:sz w:val="20"/>
          <w:szCs w:val="20"/>
        </w:rPr>
        <w:t xml:space="preserve">7.7 Mise en production</w:t>
      </w: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Mise en production » alors que le système n’est pas en service au centre (§ 3.5, conclusion).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7.7 Mise en production</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7.7 Déploiement en ligne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On définit une fois ce que « production » veut dire dans ce mémoire (le serveur en ligne de démonstration).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décrivons le déploiement dans un fichier de configuration render.yaml, versionné avec le code, qui définit deux services : l’API NestJS et le site web statique React, la base PostgreSQL étant hébergée sur Neon (§ 7.3). La séquence de démarrage enchaîne quatre étapes : application des migrations Prisma, synchronisation du catalogue des permissions, garde-fou de création du compte administrateur, puis démarrage du serveur.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système est déployé en ligne pour la démonstration ; c’est ce serveur en ligne que nous appelons « production ». Nous décrivons ce déploiement dans un fichier de configuration render.yaml, versionné avec le code, qui définit deux services : l’API NestJS et le site web statique React, la base PostgreSQL étant hébergée sur Neon (§ 7.3). La séquence de démarrage enchaîne quatre étapes : application des migrations Prisma, synchronisation du catalogue des permissions, garde-fou de création du compte administrateur, puis démarrage du serveur.</w:t>
      </w:r>
    </w:p>
    <w:p>
      <w:pPr>
        <w:spacing w:after="80"/>
      </w:pPr>
    </w:p>
    <w:p>
      <w:pPr>
        <w:spacing w:after="120" w:line="300"/>
        <w:jc w:val="both"/>
      </w:pPr>
      <w:r>
        <w:rPr>
          <w:rFonts w:ascii="Times New Roman" w:cs="Times New Roman" w:eastAsia="Times New Roman" w:hAnsi="Times New Roman"/>
          <w:b/>
          <w:bCs/>
          <w:i/>
          <w:iCs/>
          <w:sz w:val="20"/>
          <w:szCs w:val="20"/>
        </w:rPr>
        <w:t xml:space="preserve">7.8 Difficultés rencontrées et solutions apportées</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La phrase d’introduction et la première difficulté étaient dans le même paragraphe.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avons rencontré six difficultés significatives, toutes documentées dans le code lui-même, ce qui permet de les rapporter sans reconstruction a posteriori. La première : le mode hors connexion ne fonctionnait pas. En mode autonome, le poste dialogue avec le serveur central quand il est en ligne, et avec son serveur embarqué sinon. Or ce sont deux autorités d’authentification distinctes, qui signent chacune avec son propre secret. La bascule ne changeait que l’adresse du serveur : le jeton émis par le central partait vers le serveur local, qui le refusait.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avons rencontré six difficultés significatives, toutes documentées dans le code lui-même, ce qui permet de les rapporter sans reconstruction a posteriori.</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La première : le mode hors connexion ne fonctionnait pas. En mode autonome, le poste dialogue avec le serveur central quand il est en ligne, et avec son serveur embarqué sinon. Or ce sont deux autorités d’authentification distinctes, qui signent chacune avec son propre secret. La bascule ne changeait que l’adresse du serveur : le jeton émis par le central partait vers le serveur local, qui le refusait.</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Grammaire — </w:t>
      </w:r>
      <w:r>
        <w:rPr>
          <w:rFonts w:ascii="Times New Roman" w:cs="Times New Roman" w:eastAsia="Times New Roman" w:hAnsi="Times New Roman"/>
          <w:b w:val="false"/>
          <w:bCs w:val="false"/>
          <w:i/>
          <w:iCs/>
          <w:sz w:val="20"/>
          <w:szCs w:val="20"/>
        </w:rPr>
        <w:t xml:space="preserve">Quatre morceaux de phrase sans verbe, dont un commençant par « Et » : une seule phrase avec deux-points et points-virgules.</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Quatre difficultés moindres ont enfin été traitées. Une option de requête acceptée par un moteur de base de données et refusée par l’autre, résolue par une injection conditionnelle. Un empaquetage qui recopiait des paquets internes dans les dossiers de production, résolu par des exclusions explicites. Un générateur qui produisait un assistant d’installation générique sous le même nom de fichier, écrasant silencieusement l’installateur sur mesure. Et une taille de pré-cache dépassant le plafond par défaut, résolue par un relèvement justifié.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Quatre difficultés moindres ont aussi été traitées : une option de requête acceptée par un moteur de base de données et refusée par l’autre, résolue par une injection conditionnelle ; un empaquetage qui recopiait des paquets internes dans les dossiers de production, résolu par des exclusions explicites ; un générateur qui produisait un assistant d’installation générique sous le même nom de fichier et écrasait sans prévenir l’installateur sur mesure ; enfin, une taille de pré-cache dépassant le plafond par défaut, résolue par un relèvement justifié.</w:t>
      </w:r>
    </w:p>
    <w:p>
      <w:pPr>
        <w:spacing w:after="80"/>
      </w:pPr>
    </w:p>
    <w:p>
      <w:pPr>
        <w:spacing w:after="120" w:line="300"/>
        <w:jc w:val="both"/>
      </w:pPr>
      <w:r>
        <w:rPr>
          <w:rFonts w:ascii="Times New Roman" w:cs="Times New Roman" w:eastAsia="Times New Roman" w:hAnsi="Times New Roman"/>
          <w:b/>
          <w:bCs/>
          <w:i/>
          <w:iCs/>
          <w:sz w:val="20"/>
          <w:szCs w:val="20"/>
        </w:rPr>
        <w:t xml:space="preserve">Conclusion du chapitre</w:t>
      </w: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distingue le droit d’agir de l’autorisation d’agir » : incompréhensible pour un lecteur non initié.</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 conception a fait converger les deux branches de 2TUP. Le modèle du domaine s’organise autour de trois pivots — le patient, la consultation, l’agent — et de 29 classes retenues sur 88 selon un critère explicite. Le contrôle à deux étages distingue enfin le droit d’agir de l’autorisation d’agir.</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conception a fait converger les deux branches de 2TUP. Le modèle du domaine s’organise autour de trois pivots — le patient, la consultation, l’agent — et de 29 classes retenues sur 88 selon un critère explicite. Enfin, le contrôle en deux étages sépare ce que le rôle permet de ce que la règle métier autorise.</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CONCLUSION GÉNÉRALE</w:t>
      </w: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Les réponses 2, 3 et 4 étaient dans un seul paragraphe alors que la 1re a le sien.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La deuxième porte sur la règle d’éligibilité. Elle ne repose plus sur la mémoire des agents mais sur une table de la base, interrogée à chaque demande de bon. Elle est donc appliquée uniformément, tracée, et modifiable sans redéploiement. La troisième porte sur la trace. Chaque action sensible est journalisée par un intercepteur unique, sans route d’écriture directe : cent cinquante et une routes sont auditées, et l’historique est conservé. La quatrième porte sur la continuité de service. Elle repose sur deux mécanismes distincts : une file de mutations rejouées côté web, et une base locale synchronisée par deltas côté poste autonome.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La deuxième porte sur la règle d’éligibilité. Elle ne repose plus sur la mémoire des agents, mais sur une table de la base, interrogée à chaque demande de bon. Elle est donc appliquée uniformément, tracée et modifiable sans redéploiement.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La troisième porte sur la trace. Chaque action sensible est journalisée par un intercepteur unique, sans route d’écriture directe : cent cinquante et une routes sont auditées, et l’historique est conservé.</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La quatrième porte sur la continuité de service. Elle repose sur deux mécanismes distincts : une file de mutations rejouées côté web, et une base locale synchronisée par deltas côté poste autonome.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Honnêteté — </w:t>
      </w:r>
      <w:r>
        <w:rPr>
          <w:rFonts w:ascii="Times New Roman" w:cs="Times New Roman" w:eastAsia="Times New Roman" w:hAnsi="Times New Roman"/>
          <w:b w:val="false"/>
          <w:bCs w:val="false"/>
          <w:i/>
          <w:iCs/>
          <w:sz w:val="20"/>
          <w:szCs w:val="20"/>
        </w:rPr>
        <w:t xml:space="preserve">Au présent, la phrase affirme que le système est utilisé au centre, ce que le mémoire dément plus loin.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apports se situent à trois niveaux. Pour le Centre Médico-Sanitaire, le système supprime les ressaisies, consolide les historiques entre les deux sites et applique uniformément une règle qui reposait sur la vigilance humaine. Pour notre formation, le projet a exigé une chaîne d’ingénierie complète, dont la difficulté majeure a été de faire coexister deux modes d’exécution d’un même code.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apports se situent à trois niveaux. Pour le Centre Médico-Sanitaire, le système est conçu pour supprimer les ressaisies, consolider les historiques entre les deux sites et appliquer uniformément une règle qui reposait sur la vigilance humaine. Pour notre formation, le projet a exigé une chaîne d’ingénierie complète, dont la difficulté majeure a été de faire coexister deux modes d’exécution d’un même code.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Paragraphe — </w:t>
      </w:r>
      <w:r>
        <w:rPr>
          <w:rFonts w:ascii="Times New Roman" w:cs="Times New Roman" w:eastAsia="Times New Roman" w:hAnsi="Times New Roman"/>
          <w:b w:val="false"/>
          <w:bCs w:val="false"/>
          <w:i/>
          <w:iCs/>
          <w:sz w:val="20"/>
          <w:szCs w:val="20"/>
        </w:rPr>
        <w:t xml:space="preserve">Le 3e apport et le début des limites étaient dans le même paragraphe.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Pour le domaine enfin, plus modestement, ce travail documente une réponse argumentée à un problème récurrent dans la sous-région : concevoir là où la connectivité n’est pas acquise. Il a aussi ses limites. La validation est partielle : cent trois cas de test ont réussi le 10 août 2026, mais quarante-trois n’ont pas pu être exécutés, faute de serveur démarré et de base remplie.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Pour le domaine enfin, plus modestement, ce travail documente une réponse argumentée à un problème récurrent dans la sous-région : concevoir là où la connectivité n’est pas acquise.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Nouveau paragraphe </w:t>
      </w:r>
      <w:r>
        <w:rPr>
          <w:rFonts w:ascii="Times New Roman" w:cs="Times New Roman" w:eastAsia="Times New Roman" w:hAnsi="Times New Roman"/>
          <w:b w:val="false"/>
          <w:bCs w:val="false"/>
          <w:i w:val="false"/>
          <w:iCs w:val="false"/>
          <w:sz w:val="20"/>
          <w:szCs w:val="20"/>
        </w:rPr>
        <w:t xml:space="preserve">Ce travail a aussi ses limites. La validation est partielle : cent trois cas de test ont réussi le 10 août 2026, mais quarante-trois n’ont pas pu être exécutés, faute de serveur démarré et de base remplie.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Clarté — </w:t>
      </w:r>
      <w:r>
        <w:rPr>
          <w:rFonts w:ascii="Times New Roman" w:cs="Times New Roman" w:eastAsia="Times New Roman" w:hAnsi="Times New Roman"/>
          <w:b w:val="false"/>
          <w:bCs w:val="false"/>
          <w:i/>
          <w:iCs/>
          <w:sz w:val="20"/>
          <w:szCs w:val="20"/>
        </w:rPr>
        <w:t xml:space="preserve">« La signature de code » n’est expliquée nulle part.</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 cœur clinique n’est pas testé automatiquement, et la règle d’éligibilité, la plus importante du système, n’est couverte par aucun test. Le mode autonome n’a pas été éprouvé par une exécution complète sur machine cible, ni la synchronisation validée entre deux postes réels. La signature de code n’est pas active, et cinq machines à états ne sont pas garanties par la base de données.</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 cœur clinique n’est pas testé automatiquement, et la règle d’éligibilité, la plus importante du système, n’est couverte par aucun test. Le mode autonome n’a pas été éprouvé par une exécution complète sur machine cible, ni la synchronisation validée entre deux postes réels. La signature numérique de l’installateur n’est pas active, et cinq machines à états ne sont pas garanties par la base de données.</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Typographie — </w:t>
      </w:r>
      <w:r>
        <w:rPr>
          <w:rFonts w:ascii="Times New Roman" w:cs="Times New Roman" w:eastAsia="Times New Roman" w:hAnsi="Times New Roman"/>
          <w:b w:val="false"/>
          <w:bCs w:val="false"/>
          <w:i/>
          <w:iCs/>
          <w:sz w:val="20"/>
          <w:szCs w:val="20"/>
        </w:rPr>
        <w:t xml:space="preserve">Minuscule à « tableau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Quatre besoins du périmètre ne sont par ailleurs que partiellement satisfaits (Tableau 5.3), dont les axes statistiques attendus par le Médecin Chef : quatre sur dix restent hors d’atteinte. Le volet contextuel reste lui aussi incomplet, faute d’avoir relevé l’infrastructure réseau et les chiffres d’activité du centre.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Quatre besoins du périmètre ne sont par ailleurs que partiellement satisfaits (tableau 5.3), dont les axes statistiques attendus par le Médecin Chef : quatre sur dix restent hors d’atteinte. Le volet contextuel reste lui aussi incomplet, faute d’avoir relevé l’infrastructure réseau et les chiffres d’activité du centre.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Contradiction — </w:t>
      </w:r>
      <w:r>
        <w:rPr>
          <w:rFonts w:ascii="Times New Roman" w:cs="Times New Roman" w:eastAsia="Times New Roman" w:hAnsi="Times New Roman"/>
          <w:b w:val="false"/>
          <w:bCs w:val="false"/>
          <w:i/>
          <w:iCs/>
          <w:sz w:val="20"/>
          <w:szCs w:val="20"/>
        </w:rPr>
        <w:t xml:space="preserve">« Le système est déployé … jamais déployé et utilisé » se lisait comme une contradiction.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Une précision de statut s’impose enfin. Le système est déployé en ligne pour les besoins de la démonstration, et des incidents d’exploitation datés attestent de son fonctionnement réel. Mais aucun usage clinique par le personnel du centre n’est établi : nous disons donc « conçu et développé », jamais « déployé et utilisé ».</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Une précision de statut s’impose enfin. Le système a été mis en ligne pour la démonstration, et des incidents d’exploitation datés attestent qu’il a réellement fonctionné. Mais aucun usage clinique par le personnel du centre n’est établi : nous écrivons donc que le système est « conçu et développé », jamais qu’il est « utilisé par le centre ».</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Contradiction — </w:t>
      </w:r>
      <w:r>
        <w:rPr>
          <w:rFonts w:ascii="Times New Roman" w:cs="Times New Roman" w:eastAsia="Times New Roman" w:hAnsi="Times New Roman"/>
          <w:b w:val="false"/>
          <w:bCs w:val="false"/>
          <w:i/>
          <w:iCs/>
          <w:sz w:val="20"/>
          <w:szCs w:val="20"/>
        </w:rPr>
        <w:t xml:space="preserve">« réalisable avant la soutenance » : le jury demanderait pourquoi ce n’est pas fait. Et le tableau 5.3 dit que la « direction » n’existe pas dans le modèle, alors que cette phrase disait qu’il suffisait d’ajouter des jointures (vérifié dans le schéma : service, département et fonction existent, pas la direction).</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Les perspectives se classent selon le rapport entre ce qu’elles apportent et ce qu’elles coûtent. La correction la plus rentable est réalisable avant la soutenance : ajouter les axes de direction et de catégorie socio-professionnelle aux statistiques. Ce sont quatre des dix axes attendus par le Médecin Chef, et les données existent déjà dans le registre des employés. Il s’agit d’ajouter des jointures, pas de modifier le modèle.</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Les perspectives se classent selon le rapport entre ce qu’elles apportent et ce qu’elles coûtent. La correction la plus rentable est aussi la plus simple : compléter les statistiques avec les axes liés à l’organisation de l’entreprise et à la catégorie socio-professionnelle. Ce sont quatre des dix axes attendus par le Médecin Chef. Le registre des employés contient déjà des données proches, comme le service, le département et la fonction de chaque agent ; seule la direction manque encore au modèle.</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Erreur de chiffre — </w:t>
      </w:r>
      <w:r>
        <w:rPr>
          <w:rFonts w:ascii="Times New Roman" w:cs="Times New Roman" w:eastAsia="Times New Roman" w:hAnsi="Times New Roman"/>
          <w:b w:val="false"/>
          <w:bCs w:val="false"/>
          <w:i/>
          <w:iCs/>
          <w:sz w:val="20"/>
          <w:szCs w:val="20"/>
        </w:rPr>
        <w:t xml:space="preserve">Ce sont cinq besoins regroupés en trois chantiers (voir la correction du § 2.8) ; virgule inutile avant « et ».</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Trois besoins de priorité haute restent enfin hors du système, et chacun forme un projet en soi : le suivi des coûts d’évacuation, le tableau de bord de l’absentéisme, et la gestion pharmaceutique. Ce dernier mérite une attention particulière. C’est à la fois le besoin le plus criant du recueil et le plus éloigné du périmètre retenu.</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Trois chantiers de priorité haute restent enfin hors du système, et chacun forme un projet en soi : le suivi des coûts d’évacuation, le tableau de bord de l’absentéisme et la gestion pharmaceutique. Ce dernier chantier mérite une attention particulière. C’est à la fois le besoin le plus criant du recueil et le plus éloigné du périmètre retenu.</w:t>
      </w:r>
    </w:p>
    <w:p>
      <w:pPr>
        <w:spacing w:after="80"/>
      </w:pPr>
    </w:p>
    <w:p>
      <w:pPr>
        <w:spacing w:after="120" w:line="300"/>
        <w:jc w:val="both"/>
      </w:pPr>
      <w:r>
        <w:rPr>
          <w:rFonts w:ascii="Times New Roman" w:cs="Times New Roman" w:eastAsia="Times New Roman" w:hAnsi="Times New Roman"/>
          <w:b/>
          <w:bCs/>
          <w:i w:val="false"/>
          <w:iCs w:val="false"/>
          <w:color w:val="1F4E79"/>
          <w:sz w:val="20"/>
          <w:szCs w:val="20"/>
        </w:rPr>
        <w:t xml:space="preserve">Cohérence — </w:t>
      </w:r>
      <w:r>
        <w:rPr>
          <w:rFonts w:ascii="Times New Roman" w:cs="Times New Roman" w:eastAsia="Times New Roman" w:hAnsi="Times New Roman"/>
          <w:b w:val="false"/>
          <w:bCs w:val="false"/>
          <w:i/>
          <w:iCs/>
          <w:sz w:val="20"/>
          <w:szCs w:val="20"/>
        </w:rPr>
        <w:t xml:space="preserve">« Nous en retenons deux choses » … puis une troisième.</w:t>
      </w:r>
    </w:p>
    <w:p>
      <w:pPr>
        <w:shd w:fill="EDEDED" w:color="auto" w:val="clear"/>
        <w:spacing w:after="60" w:line="280"/>
        <w:jc w:val="both"/>
      </w:pPr>
      <w:r>
        <w:rPr>
          <w:rFonts w:ascii="Times New Roman" w:cs="Times New Roman" w:eastAsia="Times New Roman" w:hAnsi="Times New Roman"/>
          <w:b/>
          <w:bCs/>
          <w:i w:val="false"/>
          <w:iCs w:val="false"/>
          <w:sz w:val="20"/>
          <w:szCs w:val="20"/>
        </w:rPr>
        <w:t xml:space="preserve">Avant </w:t>
      </w:r>
      <w:r>
        <w:rPr>
          <w:rFonts w:ascii="Times New Roman" w:cs="Times New Roman" w:eastAsia="Times New Roman" w:hAnsi="Times New Roman"/>
          <w:b w:val="false"/>
          <w:bCs w:val="false"/>
          <w:i w:val="false"/>
          <w:iCs w:val="false"/>
          <w:sz w:val="20"/>
          <w:szCs w:val="20"/>
        </w:rPr>
        <w:t xml:space="preserve">Nous en retenons deux choses. La conception ne s’arrête pas au diagramme. Et la solidité d’un système se juge à ce qu’il fait quand les conditions cessent d’être idéales. Nous en retenons aussi qu’une documentation n’a de valeur que si elle dit ce qui n’a pas été fait.</w:t>
      </w:r>
    </w:p>
    <w:p>
      <w:pPr>
        <w:shd w:fill="E2EFDA" w:color="auto" w:val="clear"/>
        <w:spacing w:after="60" w:line="280"/>
        <w:jc w:val="both"/>
      </w:pPr>
      <w:r>
        <w:rPr>
          <w:rFonts w:ascii="Times New Roman" w:cs="Times New Roman" w:eastAsia="Times New Roman" w:hAnsi="Times New Roman"/>
          <w:b/>
          <w:bCs/>
          <w:i w:val="false"/>
          <w:iCs w:val="false"/>
          <w:sz w:val="20"/>
          <w:szCs w:val="20"/>
        </w:rPr>
        <w:t xml:space="preserve">Après </w:t>
      </w:r>
      <w:r>
        <w:rPr>
          <w:rFonts w:ascii="Times New Roman" w:cs="Times New Roman" w:eastAsia="Times New Roman" w:hAnsi="Times New Roman"/>
          <w:b w:val="false"/>
          <w:bCs w:val="false"/>
          <w:i w:val="false"/>
          <w:iCs w:val="false"/>
          <w:sz w:val="20"/>
          <w:szCs w:val="20"/>
        </w:rPr>
        <w:t xml:space="preserve">Nous en retenons trois leçons. La conception ne s’arrête pas au diagramme. La solidité d’un système se juge à ce qu’il fait quand les conditions cessent d’être idéales. Enfin, une documentation n’a de valeur que si elle dit aussi ce qui n’a pas été fait.</w:t>
      </w:r>
    </w:p>
    <w:p>
      <w:pPr>
        <w:spacing w:after="80"/>
      </w:pPr>
    </w:p>
    <w:p>
      <w:pPr>
        <w:pStyle w:val="Heading2"/>
        <w:spacing w:after="120" w:before="280"/>
      </w:pPr>
      <w:r>
        <w:rPr>
          <w:rFonts w:ascii="Times New Roman" w:cs="Times New Roman" w:eastAsia="Times New Roman" w:hAnsi="Times New Roman"/>
          <w:b/>
          <w:bCs/>
          <w:i w:val="false"/>
          <w:iCs w:val="false"/>
          <w:sz w:val="26"/>
          <w:szCs w:val="26"/>
        </w:rPr>
        <w:t xml:space="preserve">Italique retiré</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0"/>
          <w:szCs w:val="20"/>
        </w:rPr>
        <w:t xml:space="preserve">Le Centre Médico-Sanitaire soigne neuf catégories de personnes, du travailleur permanent au riverain, sur deux sites, Mo…</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0"/>
          <w:szCs w:val="20"/>
        </w:rPr>
        <w:t xml:space="preserve">L’étude de l’existant, au chapitre 4, établira l’état de cette organisation avant le projet : aucun système d’informatio…</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0"/>
          <w:szCs w:val="20"/>
        </w:rPr>
        <w:t xml:space="preserve">Ce contexte pose une question centrale. Comment concevoir et réaliser un système de gestion des consultations et des dos…</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0"/>
          <w:szCs w:val="20"/>
        </w:rPr>
        <w:t xml:space="preserve">Cette question contient une contradiction, qui fait la difficulté du travail. Relier deux sites suppose que l’informatio…</w:t>
      </w:r>
    </w:p>
    <w:p>
      <w:pPr>
        <w:pStyle w:val="ListParagraph"/>
        <w:numPr>
          <w:ilvl w:val="0"/>
          <w:numId w:val="2"/>
        </w:numPr>
        <w:spacing w:after="80" w:line="290"/>
        <w:jc w:val="both"/>
      </w:pPr>
      <w:r>
        <w:rPr>
          <w:rFonts w:ascii="Times New Roman" w:cs="Times New Roman" w:eastAsia="Times New Roman" w:hAnsi="Times New Roman"/>
          <w:b w:val="false"/>
          <w:bCs w:val="false"/>
          <w:i w:val="false"/>
          <w:iCs w:val="false"/>
          <w:sz w:val="20"/>
          <w:szCs w:val="20"/>
        </w:rPr>
        <w:t xml:space="preserve">Ce cas porte la règle métier la plus structurante du système : tous les patients n’ouvrent pas droit à la prise en charg…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2026-09-26T12:32:03.299Z</dcterms:created>
  <dcterms:modified xsi:type="dcterms:W3CDTF">2026-09-26T12:32:03.299Z</dcterms:modified>
</cp:coreProperties>
</file>

<file path=docProps/custom.xml><?xml version="1.0" encoding="utf-8"?>
<Properties xmlns="http://schemas.openxmlformats.org/officeDocument/2006/custom-properties" xmlns:vt="http://schemas.openxmlformats.org/officeDocument/2006/docPropsVTypes"/>
</file>