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41BA" w14:textId="4235F844" w:rsidR="0028769E" w:rsidRDefault="00D273EF" w:rsidP="00D273EF">
      <w:pPr>
        <w:jc w:val="center"/>
        <w:rPr>
          <w:rFonts w:ascii="Times New Roman" w:eastAsia="標楷體" w:hAnsi="Times New Roman" w:cs="Times New Roman"/>
          <w:b/>
          <w:bCs/>
          <w:sz w:val="32"/>
        </w:rPr>
      </w:pPr>
      <w:r w:rsidRPr="00D273EF">
        <w:rPr>
          <w:rFonts w:ascii="Times New Roman" w:eastAsia="標楷體" w:hAnsi="Times New Roman" w:cs="Times New Roman" w:hint="eastAsia"/>
          <w:b/>
          <w:bCs/>
          <w:sz w:val="32"/>
        </w:rPr>
        <w:t>四種常見的</w:t>
      </w:r>
      <w:r w:rsidRPr="00D273EF">
        <w:rPr>
          <w:rFonts w:ascii="Times New Roman" w:eastAsia="標楷體" w:hAnsi="Times New Roman" w:cs="Times New Roman"/>
          <w:b/>
          <w:bCs/>
          <w:sz w:val="32"/>
        </w:rPr>
        <w:t xml:space="preserve"> POST </w:t>
      </w:r>
      <w:r w:rsidRPr="00D273EF">
        <w:rPr>
          <w:rFonts w:ascii="Times New Roman" w:eastAsia="標楷體" w:hAnsi="Times New Roman" w:cs="Times New Roman" w:hint="eastAsia"/>
          <w:b/>
          <w:bCs/>
          <w:sz w:val="32"/>
        </w:rPr>
        <w:t>提交資料方式</w:t>
      </w:r>
    </w:p>
    <w:p w14:paraId="658CC88E" w14:textId="268EBF19" w:rsidR="00ED2BF0" w:rsidRDefault="00ED2BF0" w:rsidP="00D273EF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前言：</w:t>
      </w:r>
    </w:p>
    <w:p w14:paraId="2B82253E" w14:textId="21CEFA68" w:rsidR="00D273EF" w:rsidRDefault="00D273EF" w:rsidP="00D273EF">
      <w:pPr>
        <w:rPr>
          <w:rFonts w:ascii="Times New Roman" w:eastAsia="標楷體" w:hAnsi="Times New Roman" w:cs="Times New Roman"/>
          <w:bCs/>
        </w:rPr>
      </w:pPr>
      <w:r w:rsidRPr="00D273EF">
        <w:rPr>
          <w:rFonts w:ascii="Times New Roman" w:eastAsia="標楷體" w:hAnsi="Times New Roman" w:cs="Times New Roman" w:hint="eastAsia"/>
          <w:bCs/>
        </w:rPr>
        <w:t>根據</w:t>
      </w:r>
      <w:r w:rsidRPr="00D273EF">
        <w:rPr>
          <w:rFonts w:ascii="Times New Roman" w:eastAsia="標楷體" w:hAnsi="Times New Roman" w:cs="Times New Roman" w:hint="eastAsia"/>
          <w:bCs/>
        </w:rPr>
        <w:t>HTTP</w:t>
      </w:r>
      <w:r w:rsidRPr="00D273EF">
        <w:rPr>
          <w:rFonts w:ascii="Times New Roman" w:eastAsia="標楷體" w:hAnsi="Times New Roman" w:cs="Times New Roman" w:hint="eastAsia"/>
          <w:bCs/>
        </w:rPr>
        <w:t>協</w:t>
      </w:r>
      <w:r w:rsidR="00ED2BF0">
        <w:rPr>
          <w:rFonts w:ascii="Times New Roman" w:eastAsia="標楷體" w:hAnsi="Times New Roman" w:cs="Times New Roman" w:hint="eastAsia"/>
          <w:bCs/>
        </w:rPr>
        <w:t>議</w:t>
      </w:r>
      <w:r w:rsidRPr="00D273EF">
        <w:rPr>
          <w:rFonts w:ascii="Times New Roman" w:eastAsia="標楷體" w:hAnsi="Times New Roman" w:cs="Times New Roman" w:hint="eastAsia"/>
          <w:bCs/>
        </w:rPr>
        <w:t>，</w:t>
      </w:r>
      <w:proofErr w:type="spellStart"/>
      <w:r w:rsidRPr="00D273EF">
        <w:rPr>
          <w:rFonts w:ascii="Times New Roman" w:eastAsia="標楷體" w:hAnsi="Times New Roman" w:cs="Times New Roman"/>
          <w:bCs/>
        </w:rPr>
        <w:t>enctype</w:t>
      </w:r>
      <w:proofErr w:type="spellEnd"/>
      <w:r w:rsidRPr="00D273EF">
        <w:rPr>
          <w:rFonts w:ascii="Times New Roman" w:eastAsia="標楷體" w:hAnsi="Times New Roman" w:cs="Times New Roman" w:hint="eastAsia"/>
          <w:bCs/>
        </w:rPr>
        <w:t>屬性規定在發送到伺服器之前應該如何對表單數據進行編碼。預設地，表單數據會編碼為</w:t>
      </w:r>
      <w:r w:rsidRPr="00D273EF">
        <w:rPr>
          <w:rFonts w:ascii="Times New Roman" w:eastAsia="標楷體" w:hAnsi="Times New Roman" w:cs="Times New Roman"/>
          <w:bCs/>
        </w:rPr>
        <w:t xml:space="preserve"> “</w:t>
      </w:r>
      <w:r w:rsidRPr="00D273EF">
        <w:rPr>
          <w:rFonts w:ascii="Times New Roman" w:eastAsia="標楷體" w:hAnsi="Times New Roman" w:cs="Times New Roman"/>
          <w:bCs/>
          <w:highlight w:val="yellow"/>
        </w:rPr>
        <w:t>application/x-www-form-</w:t>
      </w:r>
      <w:proofErr w:type="spellStart"/>
      <w:r w:rsidRPr="00D273EF">
        <w:rPr>
          <w:rFonts w:ascii="Times New Roman" w:eastAsia="標楷體" w:hAnsi="Times New Roman" w:cs="Times New Roman"/>
          <w:bCs/>
          <w:highlight w:val="yellow"/>
        </w:rPr>
        <w:t>urlencoded</w:t>
      </w:r>
      <w:proofErr w:type="spellEnd"/>
      <w:r w:rsidRPr="00D273EF">
        <w:rPr>
          <w:rFonts w:ascii="Times New Roman" w:eastAsia="標楷體" w:hAnsi="Times New Roman" w:cs="Times New Roman"/>
          <w:bCs/>
        </w:rPr>
        <w:t>”</w:t>
      </w:r>
      <w:r w:rsidRPr="00D273EF">
        <w:rPr>
          <w:rFonts w:ascii="Times New Roman" w:eastAsia="標楷體" w:hAnsi="Times New Roman" w:cs="Times New Roman" w:hint="eastAsia"/>
          <w:bCs/>
        </w:rPr>
        <w:t>。就是說，在發送到伺服器之前，所有字元都會進行編碼（空格轉換為</w:t>
      </w:r>
      <w:r w:rsidRPr="00D273EF">
        <w:rPr>
          <w:rFonts w:ascii="Times New Roman" w:eastAsia="標楷體" w:hAnsi="Times New Roman" w:cs="Times New Roman"/>
          <w:bCs/>
        </w:rPr>
        <w:t xml:space="preserve"> “+” </w:t>
      </w:r>
      <w:r w:rsidRPr="00D273EF">
        <w:rPr>
          <w:rFonts w:ascii="Times New Roman" w:eastAsia="標楷體" w:hAnsi="Times New Roman" w:cs="Times New Roman" w:hint="eastAsia"/>
          <w:bCs/>
        </w:rPr>
        <w:t>加號，特殊符號轉換為</w:t>
      </w:r>
      <w:r w:rsidRPr="00D273EF">
        <w:rPr>
          <w:rFonts w:ascii="Times New Roman" w:eastAsia="標楷體" w:hAnsi="Times New Roman" w:cs="Times New Roman"/>
          <w:bCs/>
        </w:rPr>
        <w:t xml:space="preserve"> ASCII HEX </w:t>
      </w:r>
      <w:r w:rsidRPr="00D273EF">
        <w:rPr>
          <w:rFonts w:ascii="Times New Roman" w:eastAsia="標楷體" w:hAnsi="Times New Roman" w:cs="Times New Roman" w:hint="eastAsia"/>
          <w:bCs/>
        </w:rPr>
        <w:t>值）。</w:t>
      </w:r>
    </w:p>
    <w:p w14:paraId="0A88D493" w14:textId="73D34508" w:rsidR="00CA0C61" w:rsidRDefault="00ED2BF0" w:rsidP="00D273EF">
      <w:pPr>
        <w:rPr>
          <w:rFonts w:ascii="Times New Roman" w:eastAsia="標楷體" w:hAnsi="Times New Roman" w:cs="Times New Roman"/>
          <w:bCs/>
        </w:rPr>
      </w:pPr>
      <w:proofErr w:type="spellStart"/>
      <w:r>
        <w:rPr>
          <w:rFonts w:ascii="Times New Roman" w:eastAsia="標楷體" w:hAnsi="Times New Roman" w:cs="Times New Roman"/>
          <w:bCs/>
        </w:rPr>
        <w:t>Enctype</w:t>
      </w:r>
      <w:proofErr w:type="spellEnd"/>
      <w:r>
        <w:rPr>
          <w:rFonts w:ascii="Times New Roman" w:eastAsia="標楷體" w:hAnsi="Times New Roman" w:cs="Times New Roman" w:hint="eastAsia"/>
          <w:bCs/>
        </w:rPr>
        <w:t>可選項如下：</w:t>
      </w:r>
    </w:p>
    <w:p w14:paraId="0B0C3A85" w14:textId="0DF8E8C5" w:rsidR="00ED2BF0" w:rsidRDefault="00ED2BF0" w:rsidP="00D273EF">
      <w:p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drawing>
          <wp:inline distT="0" distB="0" distL="0" distR="0" wp14:anchorId="24E14B3A" wp14:editId="3E138598">
            <wp:extent cx="5274310" cy="1207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8B29" w14:textId="52EAB8E0" w:rsidR="00ED2BF0" w:rsidRDefault="00ED2BF0" w:rsidP="00D273EF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說明：</w:t>
      </w:r>
    </w:p>
    <w:p w14:paraId="6FBCB253" w14:textId="0A9A5E5F" w:rsidR="00ED2BF0" w:rsidRPr="00ED2BF0" w:rsidRDefault="00ED2BF0" w:rsidP="00ED2BF0">
      <w:p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t xml:space="preserve">HTTP </w:t>
      </w:r>
      <w:r w:rsidRPr="00ED2BF0">
        <w:rPr>
          <w:rFonts w:ascii="Times New Roman" w:eastAsia="標楷體" w:hAnsi="Times New Roman" w:cs="Times New Roman" w:hint="eastAsia"/>
          <w:bCs/>
        </w:rPr>
        <w:t>協議是以</w:t>
      </w:r>
      <w:r w:rsidRPr="00ED2BF0">
        <w:rPr>
          <w:rFonts w:ascii="Times New Roman" w:eastAsia="標楷體" w:hAnsi="Times New Roman" w:cs="Times New Roman"/>
          <w:bCs/>
        </w:rPr>
        <w:t> </w:t>
      </w:r>
      <w:r w:rsidRPr="00ED2BF0">
        <w:rPr>
          <w:rFonts w:ascii="Times New Roman" w:eastAsia="標楷體" w:hAnsi="Times New Roman" w:cs="Times New Roman"/>
          <w:bCs/>
          <w:highlight w:val="yellow"/>
        </w:rPr>
        <w:t>ASCII</w:t>
      </w:r>
      <w:r w:rsidRPr="00ED2BF0">
        <w:rPr>
          <w:rFonts w:ascii="Times New Roman" w:eastAsia="標楷體" w:hAnsi="Times New Roman" w:cs="Times New Roman"/>
          <w:bCs/>
        </w:rPr>
        <w:t> </w:t>
      </w:r>
      <w:r w:rsidRPr="00ED2BF0">
        <w:rPr>
          <w:rFonts w:ascii="Times New Roman" w:eastAsia="標楷體" w:hAnsi="Times New Roman" w:cs="Times New Roman" w:hint="eastAsia"/>
          <w:bCs/>
        </w:rPr>
        <w:t>碼傳輸。他是建立在</w:t>
      </w:r>
      <w:r w:rsidRPr="00ED2BF0">
        <w:rPr>
          <w:rFonts w:ascii="Times New Roman" w:eastAsia="標楷體" w:hAnsi="Times New Roman" w:cs="Times New Roman"/>
          <w:bCs/>
        </w:rPr>
        <w:t>TCP/IP</w:t>
      </w:r>
      <w:r w:rsidRPr="00ED2BF0">
        <w:rPr>
          <w:rFonts w:ascii="Times New Roman" w:eastAsia="標楷體" w:hAnsi="Times New Roman" w:cs="Times New Roman" w:hint="eastAsia"/>
          <w:bCs/>
        </w:rPr>
        <w:t>協定之上的應用層規範，</w:t>
      </w:r>
      <w:r w:rsidRPr="00ED2BF0">
        <w:rPr>
          <w:rFonts w:ascii="Times New Roman" w:eastAsia="標楷體" w:hAnsi="Times New Roman" w:cs="Times New Roman"/>
          <w:bCs/>
        </w:rPr>
        <w:t xml:space="preserve"> </w:t>
      </w:r>
      <w:r w:rsidRPr="00ED2BF0">
        <w:rPr>
          <w:rFonts w:ascii="Times New Roman" w:eastAsia="標楷體" w:hAnsi="Times New Roman" w:cs="Times New Roman" w:hint="eastAsia"/>
          <w:bCs/>
        </w:rPr>
        <w:t>規定</w:t>
      </w:r>
      <w:r w:rsidRPr="00ED2BF0">
        <w:rPr>
          <w:rFonts w:ascii="Times New Roman" w:eastAsia="標楷體" w:hAnsi="Times New Roman" w:cs="Times New Roman"/>
          <w:bCs/>
        </w:rPr>
        <w:t xml:space="preserve">HTTP </w:t>
      </w:r>
      <w:r w:rsidRPr="00ED2BF0">
        <w:rPr>
          <w:rFonts w:ascii="Times New Roman" w:eastAsia="標楷體" w:hAnsi="Times New Roman" w:cs="Times New Roman" w:hint="eastAsia"/>
          <w:bCs/>
        </w:rPr>
        <w:t>請求分為三個部分：</w:t>
      </w:r>
    </w:p>
    <w:p w14:paraId="35120873" w14:textId="06CF83A2" w:rsidR="00ED2BF0" w:rsidRPr="00ED2BF0" w:rsidRDefault="00ED2BF0" w:rsidP="00ED2BF0">
      <w:pPr>
        <w:numPr>
          <w:ilvl w:val="0"/>
          <w:numId w:val="1"/>
        </w:num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 w:hint="eastAsia"/>
          <w:bCs/>
        </w:rPr>
        <w:t>狀態行</w:t>
      </w:r>
    </w:p>
    <w:p w14:paraId="11C35BF2" w14:textId="56A4F858" w:rsidR="00ED2BF0" w:rsidRDefault="00ED2BF0" w:rsidP="00D273EF">
      <w:p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drawing>
          <wp:inline distT="0" distB="0" distL="0" distR="0" wp14:anchorId="273BF3EC" wp14:editId="15079A35">
            <wp:extent cx="5274310" cy="6915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30C" w14:textId="77777777" w:rsidR="00ED2BF0" w:rsidRPr="00ED2BF0" w:rsidRDefault="00ED2BF0" w:rsidP="00ED2BF0">
      <w:pPr>
        <w:numPr>
          <w:ilvl w:val="0"/>
          <w:numId w:val="1"/>
        </w:num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t xml:space="preserve">headers </w:t>
      </w:r>
      <w:r w:rsidRPr="00ED2BF0">
        <w:rPr>
          <w:rFonts w:ascii="Times New Roman" w:eastAsia="標楷體" w:hAnsi="Times New Roman" w:cs="Times New Roman" w:hint="eastAsia"/>
          <w:bCs/>
        </w:rPr>
        <w:t>請求頭</w:t>
      </w:r>
    </w:p>
    <w:p w14:paraId="0881EBE9" w14:textId="7519EF4A" w:rsidR="00ED2BF0" w:rsidRDefault="00ED2BF0" w:rsidP="00D273EF">
      <w:p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drawing>
          <wp:inline distT="0" distB="0" distL="0" distR="0" wp14:anchorId="575D259C" wp14:editId="62FBE8AC">
            <wp:extent cx="6690781" cy="357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647" cy="35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549" w14:textId="77777777" w:rsidR="00ED2BF0" w:rsidRPr="00ED2BF0" w:rsidRDefault="00ED2BF0" w:rsidP="00ED2BF0">
      <w:pPr>
        <w:numPr>
          <w:ilvl w:val="0"/>
          <w:numId w:val="1"/>
        </w:numPr>
        <w:rPr>
          <w:rFonts w:ascii="Times New Roman" w:eastAsia="標楷體" w:hAnsi="Times New Roman" w:cs="Times New Roman"/>
          <w:bCs/>
        </w:rPr>
      </w:pPr>
      <w:r w:rsidRPr="00ED2BF0">
        <w:rPr>
          <w:rFonts w:ascii="Times New Roman" w:eastAsia="標楷體" w:hAnsi="Times New Roman" w:cs="Times New Roman"/>
          <w:bCs/>
        </w:rPr>
        <w:t xml:space="preserve">entity-body </w:t>
      </w:r>
      <w:r w:rsidRPr="00ED2BF0">
        <w:rPr>
          <w:rFonts w:ascii="Times New Roman" w:eastAsia="標楷體" w:hAnsi="Times New Roman" w:cs="Times New Roman" w:hint="eastAsia"/>
          <w:bCs/>
        </w:rPr>
        <w:t>消息主體</w:t>
      </w:r>
    </w:p>
    <w:p w14:paraId="21A88E10" w14:textId="656EC437" w:rsidR="00ED2BF0" w:rsidRPr="00ED2BF0" w:rsidRDefault="00ED2BF0" w:rsidP="00ED2BF0">
      <w:pPr>
        <w:rPr>
          <w:rFonts w:ascii="Times New Roman" w:eastAsia="標楷體" w:hAnsi="Times New Roman" w:cs="Times New Roman" w:hint="eastAsia"/>
          <w:bCs/>
        </w:rPr>
      </w:pPr>
      <w:r w:rsidRPr="00ED2BF0">
        <w:rPr>
          <w:rFonts w:ascii="Times New Roman" w:eastAsia="標楷體" w:hAnsi="Times New Roman" w:cs="Times New Roman" w:hint="eastAsia"/>
          <w:bCs/>
        </w:rPr>
        <w:t>服務端通常是根據</w:t>
      </w:r>
      <w:r w:rsidRPr="00ED2BF0">
        <w:rPr>
          <w:rFonts w:ascii="Times New Roman" w:eastAsia="標楷體" w:hAnsi="Times New Roman" w:cs="Times New Roman" w:hint="eastAsia"/>
          <w:bCs/>
          <w:highlight w:val="yellow"/>
        </w:rPr>
        <w:t>請求頭</w:t>
      </w:r>
      <w:r w:rsidRPr="00ED2BF0">
        <w:rPr>
          <w:rFonts w:ascii="Times New Roman" w:eastAsia="標楷體" w:hAnsi="Times New Roman" w:cs="Times New Roman" w:hint="eastAsia"/>
          <w:bCs/>
        </w:rPr>
        <w:t>（</w:t>
      </w:r>
      <w:r w:rsidRPr="00ED2BF0">
        <w:rPr>
          <w:rFonts w:ascii="Times New Roman" w:eastAsia="標楷體" w:hAnsi="Times New Roman" w:cs="Times New Roman"/>
          <w:bCs/>
        </w:rPr>
        <w:t>headers</w:t>
      </w:r>
      <w:r w:rsidRPr="00ED2BF0">
        <w:rPr>
          <w:rFonts w:ascii="Times New Roman" w:eastAsia="標楷體" w:hAnsi="Times New Roman" w:cs="Times New Roman" w:hint="eastAsia"/>
          <w:bCs/>
        </w:rPr>
        <w:t>）中的</w:t>
      </w:r>
      <w:r w:rsidRPr="00ED2BF0">
        <w:rPr>
          <w:rFonts w:ascii="Times New Roman" w:eastAsia="標楷體" w:hAnsi="Times New Roman" w:cs="Times New Roman"/>
          <w:bCs/>
          <w:highlight w:val="yellow"/>
        </w:rPr>
        <w:t>Content-Type</w:t>
      </w:r>
      <w:r w:rsidRPr="00ED2BF0">
        <w:rPr>
          <w:rFonts w:ascii="Times New Roman" w:eastAsia="標楷體" w:hAnsi="Times New Roman" w:cs="Times New Roman" w:hint="eastAsia"/>
          <w:bCs/>
        </w:rPr>
        <w:t>欄位來獲知請求中的</w:t>
      </w:r>
      <w:r w:rsidRPr="00ED2BF0">
        <w:rPr>
          <w:rFonts w:ascii="Times New Roman" w:eastAsia="標楷體" w:hAnsi="Times New Roman" w:cs="Times New Roman" w:hint="eastAsia"/>
          <w:bCs/>
          <w:highlight w:val="yellow"/>
        </w:rPr>
        <w:t>消息主體是用何種方式編碼</w:t>
      </w:r>
      <w:r w:rsidRPr="00ED2BF0">
        <w:rPr>
          <w:rFonts w:ascii="Times New Roman" w:eastAsia="標楷體" w:hAnsi="Times New Roman" w:cs="Times New Roman" w:hint="eastAsia"/>
          <w:bCs/>
        </w:rPr>
        <w:t>，再對主體進行解析。所以</w:t>
      </w:r>
      <w:r w:rsidRPr="00ED2BF0">
        <w:rPr>
          <w:rFonts w:ascii="Times New Roman" w:eastAsia="標楷體" w:hAnsi="Times New Roman" w:cs="Times New Roman"/>
          <w:bCs/>
        </w:rPr>
        <w:t xml:space="preserve">POST </w:t>
      </w:r>
      <w:r w:rsidRPr="00ED2BF0">
        <w:rPr>
          <w:rFonts w:ascii="Times New Roman" w:eastAsia="標楷體" w:hAnsi="Times New Roman" w:cs="Times New Roman" w:hint="eastAsia"/>
          <w:bCs/>
        </w:rPr>
        <w:t>提交資料包含了</w:t>
      </w:r>
      <w:r w:rsidRPr="00ED2BF0">
        <w:rPr>
          <w:rFonts w:ascii="Times New Roman" w:eastAsia="標楷體" w:hAnsi="Times New Roman" w:cs="Times New Roman"/>
          <w:bCs/>
        </w:rPr>
        <w:t xml:space="preserve">Content-Type </w:t>
      </w:r>
      <w:r w:rsidRPr="00ED2BF0">
        <w:rPr>
          <w:rFonts w:ascii="Times New Roman" w:eastAsia="標楷體" w:hAnsi="Times New Roman" w:cs="Times New Roman" w:hint="eastAsia"/>
          <w:bCs/>
        </w:rPr>
        <w:t>和消息主體編碼方式兩</w:t>
      </w:r>
      <w:r>
        <w:rPr>
          <w:rFonts w:ascii="Times New Roman" w:eastAsia="標楷體" w:hAnsi="Times New Roman" w:cs="Times New Roman" w:hint="eastAsia"/>
          <w:bCs/>
        </w:rPr>
        <w:t>部</w:t>
      </w:r>
      <w:r w:rsidRPr="00ED2BF0">
        <w:rPr>
          <w:rFonts w:ascii="Times New Roman" w:eastAsia="標楷體" w:hAnsi="Times New Roman" w:cs="Times New Roman" w:hint="eastAsia"/>
          <w:bCs/>
        </w:rPr>
        <w:t>分，下面就正式開始介紹它們。</w:t>
      </w:r>
    </w:p>
    <w:p w14:paraId="7EFDDDCB" w14:textId="6777EDEF" w:rsidR="00ED2BF0" w:rsidRDefault="002E1F60" w:rsidP="002E1F60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lastRenderedPageBreak/>
        <w:t>1</w:t>
      </w:r>
    </w:p>
    <w:p w14:paraId="18322DC9" w14:textId="7EEFE7B3" w:rsidR="002E1F60" w:rsidRDefault="002E1F60" w:rsidP="002E1F60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2</w:t>
      </w:r>
    </w:p>
    <w:p w14:paraId="0FCAEF01" w14:textId="2C75160D" w:rsidR="002E1F60" w:rsidRPr="002E1F60" w:rsidRDefault="002E1F60" w:rsidP="002E1F60">
      <w:pPr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Cs/>
        </w:rPr>
        <w:t xml:space="preserve">3. </w:t>
      </w:r>
      <w:r w:rsidRPr="002E1F60">
        <w:rPr>
          <w:rFonts w:ascii="Times New Roman" w:eastAsia="標楷體" w:hAnsi="Times New Roman" w:cs="Times New Roman" w:hint="eastAsia"/>
          <w:b/>
          <w:bCs/>
        </w:rPr>
        <w:t>application/json</w:t>
      </w:r>
      <w:r>
        <w:rPr>
          <w:rFonts w:ascii="Times New Roman" w:eastAsia="標楷體" w:hAnsi="Times New Roman" w:cs="Times New Roman" w:hint="eastAsia"/>
          <w:b/>
          <w:bCs/>
        </w:rPr>
        <w:t>：</w:t>
      </w:r>
    </w:p>
    <w:p w14:paraId="76696B6A" w14:textId="12C5A142" w:rsidR="002E1F60" w:rsidRDefault="002E1F60" w:rsidP="002E1F60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說明：</w:t>
      </w:r>
      <w:r w:rsidRPr="002E1F60">
        <w:rPr>
          <w:rFonts w:ascii="Times New Roman" w:eastAsia="標楷體" w:hAnsi="Times New Roman" w:cs="Times New Roman"/>
          <w:bCs/>
        </w:rPr>
        <w:t>application/json</w:t>
      </w:r>
      <w:r w:rsidRPr="002E1F60">
        <w:rPr>
          <w:rFonts w:ascii="Times New Roman" w:eastAsia="標楷體" w:hAnsi="Times New Roman" w:cs="Times New Roman" w:hint="eastAsia"/>
          <w:bCs/>
        </w:rPr>
        <w:t>作為請求頭，用來告訴</w:t>
      </w:r>
      <w:r w:rsidRPr="002E1F60">
        <w:rPr>
          <w:rFonts w:ascii="Times New Roman" w:eastAsia="標楷體" w:hAnsi="Times New Roman" w:cs="Times New Roman" w:hint="eastAsia"/>
          <w:bCs/>
          <w:highlight w:val="yellow"/>
        </w:rPr>
        <w:t>服務端消息主體是序列化的</w:t>
      </w:r>
      <w:r w:rsidRPr="002E1F60">
        <w:rPr>
          <w:rFonts w:ascii="Times New Roman" w:eastAsia="標楷體" w:hAnsi="Times New Roman" w:cs="Times New Roman"/>
          <w:bCs/>
          <w:highlight w:val="yellow"/>
        </w:rPr>
        <w:t>JSON</w:t>
      </w:r>
      <w:r w:rsidRPr="002E1F60">
        <w:rPr>
          <w:rFonts w:ascii="Times New Roman" w:eastAsia="標楷體" w:hAnsi="Times New Roman" w:cs="Times New Roman" w:hint="eastAsia"/>
          <w:bCs/>
          <w:highlight w:val="yellow"/>
        </w:rPr>
        <w:t>字串</w:t>
      </w:r>
      <w:bookmarkStart w:id="0" w:name="_GoBack"/>
      <w:bookmarkEnd w:id="0"/>
      <w:r w:rsidRPr="002E1F60">
        <w:rPr>
          <w:rFonts w:ascii="Times New Roman" w:eastAsia="標楷體" w:hAnsi="Times New Roman" w:cs="Times New Roman" w:hint="eastAsia"/>
          <w:bCs/>
        </w:rPr>
        <w:t>，除了低版本的</w:t>
      </w:r>
      <w:r w:rsidRPr="002E1F60">
        <w:rPr>
          <w:rFonts w:ascii="Times New Roman" w:eastAsia="標楷體" w:hAnsi="Times New Roman" w:cs="Times New Roman"/>
          <w:bCs/>
        </w:rPr>
        <w:t>IE</w:t>
      </w:r>
      <w:r w:rsidRPr="002E1F60">
        <w:rPr>
          <w:rFonts w:ascii="Times New Roman" w:eastAsia="標楷體" w:hAnsi="Times New Roman" w:cs="Times New Roman" w:hint="eastAsia"/>
          <w:bCs/>
        </w:rPr>
        <w:t>，基本都支持。服務端有處理</w:t>
      </w:r>
      <w:r w:rsidRPr="002E1F60">
        <w:rPr>
          <w:rFonts w:ascii="Times New Roman" w:eastAsia="標楷體" w:hAnsi="Times New Roman" w:cs="Times New Roman"/>
          <w:bCs/>
        </w:rPr>
        <w:t>JSON</w:t>
      </w:r>
      <w:r w:rsidRPr="002E1F60">
        <w:rPr>
          <w:rFonts w:ascii="Times New Roman" w:eastAsia="標楷體" w:hAnsi="Times New Roman" w:cs="Times New Roman" w:hint="eastAsia"/>
          <w:bCs/>
        </w:rPr>
        <w:t>的函數，使用不會有任何麻煩。</w:t>
      </w:r>
    </w:p>
    <w:p w14:paraId="42C822FD" w14:textId="01B354B1" w:rsidR="002E1F60" w:rsidRDefault="002E1F60" w:rsidP="002E1F60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範例：</w:t>
      </w:r>
    </w:p>
    <w:p w14:paraId="57C4BEC0" w14:textId="3A01DE4A" w:rsidR="002E1F60" w:rsidRDefault="002E1F60" w:rsidP="002E1F60">
      <w:pPr>
        <w:rPr>
          <w:rFonts w:ascii="Times New Roman" w:eastAsia="標楷體" w:hAnsi="Times New Roman" w:cs="Times New Roman"/>
          <w:bCs/>
        </w:rPr>
      </w:pPr>
      <w:r w:rsidRPr="002E1F60">
        <w:rPr>
          <w:rFonts w:ascii="Times New Roman" w:eastAsia="標楷體" w:hAnsi="Times New Roman" w:cs="Times New Roman"/>
          <w:bCs/>
        </w:rPr>
        <w:t xml:space="preserve">Google </w:t>
      </w:r>
      <w:r w:rsidRPr="002E1F60">
        <w:rPr>
          <w:rFonts w:ascii="Times New Roman" w:eastAsia="標楷體" w:hAnsi="Times New Roman" w:cs="Times New Roman" w:hint="eastAsia"/>
          <w:bCs/>
        </w:rPr>
        <w:t>的</w:t>
      </w:r>
      <w:r w:rsidRPr="002E1F60">
        <w:rPr>
          <w:rFonts w:ascii="Times New Roman" w:eastAsia="標楷體" w:hAnsi="Times New Roman" w:cs="Times New Roman"/>
          <w:bCs/>
        </w:rPr>
        <w:t xml:space="preserve"> AngularJS </w:t>
      </w:r>
      <w:r w:rsidRPr="002E1F60">
        <w:rPr>
          <w:rFonts w:ascii="Times New Roman" w:eastAsia="標楷體" w:hAnsi="Times New Roman" w:cs="Times New Roman" w:hint="eastAsia"/>
          <w:bCs/>
        </w:rPr>
        <w:t>中的</w:t>
      </w:r>
      <w:r w:rsidRPr="002E1F60">
        <w:rPr>
          <w:rFonts w:ascii="Times New Roman" w:eastAsia="標楷體" w:hAnsi="Times New Roman" w:cs="Times New Roman"/>
          <w:bCs/>
        </w:rPr>
        <w:t xml:space="preserve"> Ajax </w:t>
      </w:r>
      <w:r w:rsidRPr="002E1F60">
        <w:rPr>
          <w:rFonts w:ascii="Times New Roman" w:eastAsia="標楷體" w:hAnsi="Times New Roman" w:cs="Times New Roman" w:hint="eastAsia"/>
          <w:bCs/>
        </w:rPr>
        <w:t>功能，默認就是</w:t>
      </w:r>
      <w:r w:rsidRPr="002E1F60">
        <w:rPr>
          <w:rFonts w:ascii="Times New Roman" w:eastAsia="標楷體" w:hAnsi="Times New Roman" w:cs="Times New Roman"/>
          <w:bCs/>
        </w:rPr>
        <w:t>application/json</w:t>
      </w:r>
      <w:r w:rsidRPr="002E1F60">
        <w:rPr>
          <w:rFonts w:ascii="Times New Roman" w:eastAsia="標楷體" w:hAnsi="Times New Roman" w:cs="Times New Roman" w:hint="eastAsia"/>
          <w:bCs/>
        </w:rPr>
        <w:t>。</w:t>
      </w:r>
    </w:p>
    <w:p w14:paraId="74B9A182" w14:textId="74DFB07F" w:rsidR="002E1F60" w:rsidRDefault="002E1F60" w:rsidP="002E1F60">
      <w:pPr>
        <w:rPr>
          <w:rFonts w:ascii="Times New Roman" w:eastAsia="標楷體" w:hAnsi="Times New Roman" w:cs="Times New Roman"/>
          <w:bCs/>
        </w:rPr>
      </w:pPr>
      <w:r w:rsidRPr="002E1F60">
        <w:rPr>
          <w:rFonts w:ascii="Times New Roman" w:eastAsia="標楷體" w:hAnsi="Times New Roman" w:cs="Times New Roman"/>
          <w:bCs/>
        </w:rPr>
        <w:drawing>
          <wp:inline distT="0" distB="0" distL="0" distR="0" wp14:anchorId="458ED854" wp14:editId="140DEA3C">
            <wp:extent cx="4439270" cy="924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FAE3" w14:textId="3E8FB313" w:rsidR="002E1F60" w:rsidRDefault="002E1F60" w:rsidP="002E1F60">
      <w:pPr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發送出去：</w:t>
      </w:r>
    </w:p>
    <w:p w14:paraId="29D5B15A" w14:textId="7E965B8E" w:rsidR="002E1F60" w:rsidRDefault="002E1F60" w:rsidP="002E1F60">
      <w:pPr>
        <w:rPr>
          <w:rFonts w:ascii="Times New Roman" w:eastAsia="標楷體" w:hAnsi="Times New Roman" w:cs="Times New Roman" w:hint="eastAsia"/>
          <w:bCs/>
        </w:rPr>
      </w:pPr>
      <w:r w:rsidRPr="002E1F60">
        <w:rPr>
          <w:rFonts w:ascii="Times New Roman" w:eastAsia="標楷體" w:hAnsi="Times New Roman" w:cs="Times New Roman"/>
          <w:bCs/>
        </w:rPr>
        <w:drawing>
          <wp:inline distT="0" distB="0" distL="0" distR="0" wp14:anchorId="69436133" wp14:editId="58F4E33A">
            <wp:extent cx="4629796" cy="962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4440" w14:textId="03ACA4D7" w:rsidR="002E1F60" w:rsidRPr="002E1F60" w:rsidRDefault="002E1F60" w:rsidP="002E1F60">
      <w:pPr>
        <w:rPr>
          <w:rFonts w:ascii="Times New Roman" w:eastAsia="標楷體" w:hAnsi="Times New Roman" w:cs="Times New Roman" w:hint="eastAsia"/>
          <w:bCs/>
        </w:rPr>
      </w:pPr>
      <w:r>
        <w:rPr>
          <w:rFonts w:ascii="Times New Roman" w:eastAsia="標楷體" w:hAnsi="Times New Roman" w:cs="Times New Roman" w:hint="eastAsia"/>
          <w:bCs/>
        </w:rPr>
        <w:t>4</w:t>
      </w:r>
    </w:p>
    <w:sectPr w:rsidR="002E1F60" w:rsidRPr="002E1F60" w:rsidSect="00ED2B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BF06" w14:textId="77777777" w:rsidR="00ED3AED" w:rsidRDefault="00ED3AED" w:rsidP="00D273EF">
      <w:r>
        <w:separator/>
      </w:r>
    </w:p>
  </w:endnote>
  <w:endnote w:type="continuationSeparator" w:id="0">
    <w:p w14:paraId="024A2059" w14:textId="77777777" w:rsidR="00ED3AED" w:rsidRDefault="00ED3AED" w:rsidP="00D2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5319" w14:textId="77777777" w:rsidR="00ED3AED" w:rsidRDefault="00ED3AED" w:rsidP="00D273EF">
      <w:r>
        <w:separator/>
      </w:r>
    </w:p>
  </w:footnote>
  <w:footnote w:type="continuationSeparator" w:id="0">
    <w:p w14:paraId="79CD65DC" w14:textId="77777777" w:rsidR="00ED3AED" w:rsidRDefault="00ED3AED" w:rsidP="00D2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582"/>
    <w:multiLevelType w:val="multilevel"/>
    <w:tmpl w:val="B26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8"/>
    <w:rsid w:val="001576DC"/>
    <w:rsid w:val="002E1F60"/>
    <w:rsid w:val="005639B0"/>
    <w:rsid w:val="005E3968"/>
    <w:rsid w:val="00CA0C61"/>
    <w:rsid w:val="00D273EF"/>
    <w:rsid w:val="00ED2BF0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703A"/>
  <w15:chartTrackingRefBased/>
  <w15:docId w15:val="{B14EB8B5-679E-4A7C-BF9E-A5E09E4E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F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73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7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73EF"/>
    <w:rPr>
      <w:sz w:val="20"/>
      <w:szCs w:val="20"/>
    </w:rPr>
  </w:style>
  <w:style w:type="paragraph" w:styleId="a7">
    <w:name w:val="List Paragraph"/>
    <w:basedOn w:val="a"/>
    <w:uiPriority w:val="34"/>
    <w:qFormat/>
    <w:rsid w:val="002E1F60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E1F6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WayneSWLiu(劉士偉)</dc:creator>
  <cp:keywords/>
  <dc:description/>
  <cp:lastModifiedBy>WayneSWLiu(劉士偉)</cp:lastModifiedBy>
  <cp:revision>2</cp:revision>
  <dcterms:created xsi:type="dcterms:W3CDTF">2022-02-18T03:38:00Z</dcterms:created>
  <dcterms:modified xsi:type="dcterms:W3CDTF">2022-02-18T05:26:00Z</dcterms:modified>
</cp:coreProperties>
</file>