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5993E"/>
          <w:sz w:val="20"/>
          <w:szCs w:val="20"/>
        </w:rPr>
        <w:t xml:space="preserve">SCOPE OF WORK</w:t>
      </w:r>
    </w:p>
    <w:p>
      <w:pPr>
        <w:spacing w:before="1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Flowryd M3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5F8A"/>
          <w:sz w:val="28"/>
          <w:szCs w:val="28"/>
        </w:rPr>
        <w:t xml:space="preserve">Canton Network Integration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Live Ledger • $CC Settlement • Institutional Custody</w:t>
      </w:r>
    </w:p>
    <w:p>
      <w:pPr>
        <w:pBdr>
          <w:bottom w:val="single" w:color="C5993E" w:sz="2" w:space="1"/>
        </w:pBdr>
        <w:spacing w:after="40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Prepared for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Liz Towler  —  Flowryd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Prepared by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William Lee  —  Full-Stack Engineer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February 28, 2026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Objective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Submit button triggers a real Canton cryptographic event with $CC settlement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 Changes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Zero. Backend swap only.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Calendar Timeline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12–16 weeks (3–4 months)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Engineering Cost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$28K (equity partnership rate)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Year 1 Cost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$340K–$645K (incl. vendors)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Biggest Risk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IEU/Daml contract delivery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Quick Win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 portal ships Week 1, no vendor deps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is the complete Milestone 3 scope of work for Flowryd. M3 takes the existing Control Centre — 57 API routes, 20+ database tables, 80+ participant profiles, all built and deployed in M2 — and wires it to the live Canton Network with real cryptographic settlement.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 goal is simple: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action in Flowryd that currently writes to PostgreSQL will also execute a real Daml smart contract on Canton. Every deal that closes will settle real $CC (Canton Coin) through Fireblocks institutional-grade custody.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Zero frontend changes.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The entire UI stays the same. This is a backend swap.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work is split into two parallel lanes: Will’s engineering lane (code, architecture, integration) and Liz’s partnerships lane (vendor agreements, licensing, coordination). Both lanes must move simultaneously — engineering is blocked at multiple points by vendor access that only Liz can unlock.</w:t>
      </w:r>
    </w:p>
    <w:p>
      <w:pPr>
        <w:spacing w:before="100"/>
      </w:pPr>
    </w:p>
    <w:p>
      <w:pPr>
        <w:pStyle w:val="Heading1"/>
      </w:pPr>
      <w:r>
        <w:t xml:space="preserve">How to Read This Document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WILL’S LANE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Code, architecture, integration. AI-accelerated. Will builds with AI tooling, moves fast.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LIZ’S LANE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Vendor agreements, partnerships, licensing. Human-to-human. Cannot be automated.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work item is tagged with an owner. If it says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BLOCKED BY LIZ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Will literally cannot start until Liz delivers the vendor access or agreement.</w:t>
      </w:r>
    </w:p>
    <w:p>
      <w:pPr>
        <w:spacing w:before="100"/>
      </w:pPr>
    </w:p>
    <w:p>
      <w:pPr>
        <w:pStyle w:val="Heading1"/>
      </w:pPr>
      <w:r>
        <w:t xml:space="preserve">The Two Lanes —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Will’s Lane (Engineering)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Liz’s Lane (Partnerships)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onboarding portal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partnership (CRITICAL)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config + proxy wiring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enterprise agreement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Party-ID ledger verification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 engagement (KYC)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LiveCantonService scaffold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7Trust engagement (DNS verify)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5–6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BLOCKED — waiting on Daml contracts from IEU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Whitepaper V1 with IEU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LiveCantonService goes live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outreach (first 10)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Ledger sync + dual-write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 outreach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$CC / Fireblocks wiring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TRM Labs / Chainlink APIs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CPM integration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 vendor onboarding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adapter patterns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 scheduling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testing on testnet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Coordinate DA/IEU review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13–14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Dual-write soak period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 execution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Staged rollout (internal)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QA sign-off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Staged rollout (partners)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 LIVE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Liz’s Lane — Vendor Requirements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Everything Liz needs to secure, ordered by urgency. Without these vendor agreements, engineering stalls at clearly marked blocking points.</w:t>
      </w:r>
    </w:p>
    <w:p>
      <w:pPr>
        <w:pStyle w:val="Heading2"/>
      </w:pPr>
      <w:r>
        <w:t xml:space="preserve">Priority 1: IntellectEU (IEU) / Catalyst Partnership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BLOCKS EVERYTHING.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IEU provides the Canton validator node, writes the Daml smart contracts, and packages everything via CPM. Without IEU, there is no M3.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Signed partnership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foundation for entire M3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Testnet validator node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canton.test.catalyst.flowryd.xyz is ours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Mainnet validator node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environment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Daml contract development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role templates + 5 adapter patterns + core workflow contracts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3–8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Catalyst CBM + CPM license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management + package deployment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Whitepaper tech section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writes app stack architecture section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4–6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 node hosting (K8s)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nodes: test + production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</w:tr>
    </w:tbl>
    <w:p>
      <w:pPr>
        <w:spacing w:before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Estimated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Catalyst license (CBM + CPM)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$50K–$100K/year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hosting (2 nodes)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$6K–$10K/month ($72K–$120K/year)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Daml contract development + consulting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$80K–$150K one-time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IEU Total Year 1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$200K–$370K</w:t>
            </w:r>
          </w:p>
        </w:tc>
      </w:tr>
    </w:tbl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Negotiation leverage: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Flowryd is a showcase customer for Canton Network. IEU gets a reference customer deploying Catalyst in production. This should drive pricing down.</w:t>
      </w:r>
    </w:p>
    <w:p>
      <w:pPr>
        <w:spacing w:before="200"/>
      </w:pPr>
    </w:p>
    <w:p>
      <w:pPr>
        <w:pStyle w:val="Heading2"/>
      </w:pPr>
      <w:r>
        <w:t xml:space="preserve">Priority 1: Fireblocks — $CC Custody &amp; Settlement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CRITICAL.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Real $CC (Canton Coin) must flow through institutional-grade custody. Fireblocks is the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API access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management, transfer API, policy engine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6 (sandbox Week 2)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 External Signing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signs Daml transactions via MPC keys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Sandbox environment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 against test $CC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Solution engineering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UTXO ($CC Splice Amulet) integration is non-trivial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8–10</w:t>
            </w:r>
          </w:p>
        </w:tc>
      </w:tr>
    </w:tbl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 technical context: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$CC uses a UTXO model (like Bitcoin, not Ethereum). Fireblocks doesn’t have a native Canton driver — they integrate via External Signing where Fireblocks holds private keys and signs Canton transactions remotely. This requires their solution engineering team, not just API access.</w:t>
      </w:r>
    </w:p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Estimated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enterprise license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$50K–$100K/year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Fireblocks Total Year 1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$50K–$100K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Priority 2: 5North (KYC) &amp; 7Trust (DNS Verification)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Needed by Week 3–4. Canton-native identity verification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2280"/>
        <w:gridCol w:w="200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Canton-native KYC. Verifies Party ID = real KYC’d company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access + sandbox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(partnership)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7Trust (7Ridge)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DNS verification. Proves Party ID = specific domain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for PartyID ↔ DNS proof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(partnership)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Priority 3: Partner APIs (Adapter Tier)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Needed by Week 10–12. Off-chain services that Daml contracts talk to. Will builds the adapter pattern first, then wires specific vendor APIs.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Chainlink / Pyth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price feeds for collateral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$1K–$3K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TRM Labs / Elliptic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Pre-trade AML/sanctions screening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$2K–$5K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Chainalysis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 transaction monitoring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$2K–$5K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Human-readable deal history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$500–$2K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ALUM Labs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Validator network health telemetry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$500–$1K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$6K–$16K/mo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Minimum for launch: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Chainlink/Pyth + TRM Labs = ~$3K–$8K/month. Others can be phased in post-launch.</w:t>
      </w:r>
    </w:p>
    <w:p>
      <w:pPr>
        <w:spacing w:before="200"/>
      </w:pPr>
    </w:p>
    <w:p>
      <w:pPr>
        <w:pStyle w:val="Heading2"/>
      </w:pPr>
      <w:r>
        <w:t xml:space="preserve">Priority 4: Security Audits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1560"/>
        <w:gridCol w:w="156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Daml contract security review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IEU/Digital Asset (may be included in V1)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14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$15K–$30K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penetration test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Third-party security firm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14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$10K–$20K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$25K–$50K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Vendor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Recurring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Year 1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/ Catalyst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$80K–$150K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$122K–$220K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$200K–$370K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ASAP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$50K–$100K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$50K–$100K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Wk 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— Wk 3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7Trust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— Wk 3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APIs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$36K–$96K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$36K–$96K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 — Wk 12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Audits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$25K–$50K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$25K–$50K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P4 — Wk 14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VENDOR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$105K–$200K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$208K–$416K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$310K–$615K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Will’s Lane — Engineering Work Plan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All timelines assume AI-assisted development.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What used to be 3 weeks of coding becomes 1 week. Will works with AI tooling and moves fast.</w:t>
      </w:r>
    </w:p>
    <w:p>
      <w:pPr>
        <w:pStyle w:val="Heading2"/>
      </w:pPr>
      <w:r>
        <w:t xml:space="preserve">W1: Participant Onboarding Portal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SHIPS WEEK 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Zero vendor dependency. Can start immediately. Liz can begin inviting partners to claim profiles this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 participants DB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80+ companies from canton-data.ts into participants table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 page — company connects, matches profile, claims it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 API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/api/participants/[id]/claim — wire logic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review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→ Participants tab → approve/reject claims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Discover reads from DB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 static import to database query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W2: Canton Node Configuration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Liz → IEU confirms test node, provides Participant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admin UI to CBM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node_api_configs with live CBM endpoint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Ledger API proxy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/api/node-api/proxy hits /participants/{name}/jsonapi/v2/query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auth for Ledger API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Canton JWTs with actAs/readAs party claims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~2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W3–4: Identity Verification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Liz → 5North + 7Trust API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 topology queries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DumpParticipantIdentities — verify Party IDs on-ledger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 integration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Resolve human-readable names to Party IDs via Splice.Ans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validate-party-id.ts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async verifyOnLedger() — regex + ledger authority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 KYC integration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5N ID API for participant KYC status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7Trust DNS verification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PartyID ↔ domain proof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Verification badges UI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Shield icon (KYC), checkmark (DNS) in Discover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~5–6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W4–5: LiveCantonService Scaffold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Requires test node from W2. Does NOT require Daml contracts yet — builds against mock contracts initially.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@daml/ledger SDK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TypeScript Daml client packages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live.ts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LiveCantonService implements CantonService — all 5 methods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Ledger client wrapper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Auth-aware @daml/ledger wrapper with token refresh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factory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CANTON_MODE=mock|live toggle in index.ts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W5–7: Pre-Build Phase (While Waiting on IEU)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BLOCKED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IEU Daml contract delivery. Will is not idle — pre-builds everything possible: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wizard improvements based on first partner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Intelligence Dashboard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Fireblocks client library (against sandbox)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Adapter pattern scaffolds (oracle, compliance gate)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tests against mock contracts</w:t>
      </w:r>
    </w:p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What IEU needs to deliver (Will provides the exact spec):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Table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Daml Template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Choices Needed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deals + deal_status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DealStateMachine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OpenDeal, StartNegotiation, LockDeal, CommitDeal, ResetToDraft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deal_participants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DealParticipantAgreement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SignOff, Withdraw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flows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FlowWorkflow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Publish, Archive, AddParticipant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payment_methods + invoices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CCTransfer + OrchestratorFee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InitiateTransfer, ConfirmSettlement, DistributeFees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 marker concept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FAMarkerReward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AccumulateMarkers, DistributeRewards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role categories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Role Templates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InstallRole, ActivateRole, DeactivateRole</w:t>
            </w:r>
          </w:p>
        </w:tc>
      </w:tr>
    </w:tbl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not ambiguous. Will specifies every field, every choice, every state transition. IEU translates to Daml syntax and handles Canton-specific patterns (privacy, authorization, sub-transactions).</w:t>
      </w:r>
    </w:p>
    <w:p>
      <w:pPr>
        <w:spacing w:before="100"/>
      </w:pPr>
    </w:p>
    <w:p>
      <w:pPr>
        <w:pStyle w:val="Heading2"/>
      </w:pPr>
      <w:r>
        <w:t xml:space="preserve">W7–8: LiveCantonService Goes Live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IEU delivers Daml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real contracts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 deployContract() at real DAR templates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state machine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 status changes → Daml exercise commands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Ledger event subscription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 transaction stream → auto-update PostgreSQL mirror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Dual-write mode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to Daml + PostgreSQL. Read from PostgreSQL. Reconciliation.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W9–10: $CC Settlement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Liz → Fireblocks sandbox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client library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management, transfer API, policy engine wrapper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Topology onboarding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Fireblocks keys on Canton (with IEU help)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Splice External Party setup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createExternalPartySetupProposal on AmuletRules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Settlement bridge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Listen for Daml signature requests → forward to Fireblocks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Atomic settlement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 committed → auto $CC transfer with fee split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history UI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$CC transaction history in deal rooms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~7–8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W10–11: CPM Packaging &amp; Partner Adapters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CPM integration API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package status, trigger installs via Catalyst CPM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Jumpstarts to CPM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selection → CPM deploy → contracts created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Oracle adapter (Chainlink)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feed → Daml oracle contract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gate (TRM)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AML check → Daml compliance gate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adapters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Noves, ALUM, Chainalysis — monitoring, readable data, health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~6–7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W12–16: Testing, Migration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 testnet E2E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flow: connect → discover → deploy → negotiate → settle $CC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 concurrent deals, 50+ parties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 support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 with IEU on Daml audit, third-party on API audit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Liz schedules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Dual-write soak test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 running both. Monitor for drift.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Cutover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CANTON_MODE=live. Daml = source of truth. PostgreSQL = cache.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Staged rollout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→ 5 partners → all partners → public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 weeks active + 2–3 weeks soak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Engineering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400"/>
        <w:gridCol w:w="1560"/>
        <w:gridCol w:w="260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Rate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portal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configuration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W3–4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$9,000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W4–5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 scaffold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4–5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W5–7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Pre-build (waiting on IEU)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5–7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W7–8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$7,500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W9–10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$CC settlement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W10–11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CPM + adapters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10–11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$10,500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W12–16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+ launch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12–16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$22,500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(Market Rate)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 weeks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57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$85,500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Will’s Engagement Terms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Will is not a vendor. Will is a partner.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The engineering rate below reflects an equity partnership arrangement, not a discounted service. Will is invested in Flowryd’s success with equity in the company, and the cash compensation is structured accordingly.</w:t>
      </w:r>
    </w:p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Market rate for this scope: $85,000–$115,000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Equity partnership rate: $28,000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Difference absorbed as equity investment: ~$57,000–$87,000 in value</w:t>
      </w:r>
    </w:p>
    <w:p>
      <w:pPr>
        <w:spacing w:before="100"/>
      </w:pPr>
    </w:p>
    <w:p>
      <w:pPr>
        <w:pStyle w:val="Heading2"/>
      </w:pPr>
      <w:r>
        <w:t xml:space="preserve">Milestone 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360"/>
        <w:gridCol w:w="1400"/>
        <w:gridCol w:w="160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Kick-off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Signed agreement + onboarding portal ships (Week 1)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$6,000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 verification + LiveCantonService scaffold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$11,000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8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LiveCantonService live with real Daml contracts + dual-write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$7,000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11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$CC settlement + CPM + all adapters working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$6,000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16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tested, security passed, production GO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$4,000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$28,000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$28,000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Equity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receives equity in Flowryd as part of this engagement, reflecting the ~$57K–$87K gap between market rate and cash compensation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Equity percentage, vesting schedule, and terms to be documented in a separate equity agreement prior to kick-off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Equity agreement must be signed before engineering work begins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retains all equity earned regardless of future engagement status</w:t>
      </w:r>
    </w:p>
    <w:p>
      <w:pPr>
        <w:spacing w:before="100"/>
      </w:pPr>
    </w:p>
    <w:p>
      <w:pPr>
        <w:pStyle w:val="Heading2"/>
      </w:pPr>
      <w:r>
        <w:t xml:space="preserve">What Liz 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technical partner who is financially invested in Flowryd’s success, not a contractor watching the clock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$85K+ of engineering value delivered for $28K cash outlay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Continuity from M1 through M3 and beyond — zero ramp-up, zero knowledge transfer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AI-accelerated delivery: what takes a traditional engineer 3 weeks takes Will 1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Ongoing maintenance and M4+ development at partner rates</w:t>
      </w:r>
    </w:p>
    <w:p>
      <w:pPr>
        <w:spacing w:before="100"/>
      </w:pPr>
    </w:p>
    <w:p>
      <w:pPr>
        <w:pStyle w:val="Heading2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date: Immediate upon first milestone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Payment: Within 5 business days of each milestone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Equity agreement: Must be executed before kick-off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Communication: Weekly progress updates + async access via Slack/WhatsApp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IP: All code and deliverables are Flowryd’s property upon payment</w:t>
      </w:r>
    </w:p>
    <w:p>
      <w:pPr>
        <w:spacing w:before="300"/>
      </w:pPr>
    </w:p>
    <w:p>
      <w:pPr>
        <w:pStyle w:val="Heading1"/>
      </w:pPr>
      <w:r>
        <w:t xml:space="preserve">Total Program Cost</w:t>
      </w:r>
    </w:p>
    <w:p>
      <w:pPr>
        <w:pStyle w:val="Heading2"/>
      </w:pPr>
      <w:r>
        <w:t xml:space="preserve">Minimum Viable M3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Get it live with essential vendors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Will’s engineering (equity partnership)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$28K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(license + hosting + Daml contracts)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$200K–$280K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enterprise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$50K–$75K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Essential partner APIs (Chainlink + TRM)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$36K–$60K/year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$25K–$35K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Minimum Year 1 Total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$339K–$478K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Full M3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vendors, all partner APIs, complete ecosystem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Will’s engineering (equity partnership)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$28K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(full engagement)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$250K–$370K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enterprise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$50K–$100K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partner APIs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$72K–$192K/year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$25K–$50K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 + 7Trust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(partnership)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 Year 1 Total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$423K–$738K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Year 2+ Recurring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hosting + license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$122K–$220K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$50K–$100K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APIs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$36K–$192K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Will’s maintenance (partner rate)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~$18K–$30K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Year 2+ Total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$226K–$542K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Decision Matrix for Liz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Priority call list, in order. Each call unblocks specific engineering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60"/>
        <w:gridCol w:w="2300"/>
        <w:gridCol w:w="1500"/>
      </w:tblGrid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Chris (IEU)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test node, sign partnership, commit Daml timeline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Everything stops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enterprise agreement, get sandbox access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$CC settlement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access for Canton-native KYC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Verification badges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7Trust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for Party-ID DNS verification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above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TRM Labs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screening API for pre-trade checks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adapter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Chainlink/Pyth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feed API for collateral valuation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Oracle adapter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firm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Daml + API audit for Week 14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10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What Will Starts Monday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participant onboarding portal. No blockers. Ships this week. Liz can start inviting partners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the exact Daml contract specification to hand to IEU — every template, every choice, every field. So when Liz gets IEU signed, the spec is ready and IEU can start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Pre-build the Fireblocks client library against their public API docs — so when Liz gets sandbox access, Will swaps in real credentials and it works.</w:t>
      </w:r>
    </w:p>
    <w:p>
      <w:pPr>
        <w:spacing w:before="300"/>
      </w:pPr>
    </w:p>
    <w:p>
      <w:pPr>
        <w:pStyle w:val="Heading1"/>
      </w:pPr>
      <w:r>
        <w:t xml:space="preserve">Appendix: What’s Already Built (M2)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Liz’s context when talking to vendors. We are not starting from zero.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Already Delivered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 API routes (auth, flows, deals, admin, billing)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code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20+ database tables with full schema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Drizzle ORM, Neon PostgreSQL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80+ Canton participant profiles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data + DB table ready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 service interface (5 methods)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+ mock + factory pattern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 state machine (5 states + transitions)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in PostgreSQL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messaging (SSE + polling)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in production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auth with Canton Party-IDs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in production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 control (3 roles)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Enforced everywhere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upload/storage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Blob integration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actions logged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node running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canton.test.catalyst.flowryd.xyz — 126 endpoints</w:t>
            </w:r>
          </w:p>
        </w:tc>
      </w:tr>
    </w:tbl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M2 was explicitly designed for zero-frontend-change M3 upgrade.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mock→live swap is an engineering task, not a rewrite.</w:t>
      </w:r>
    </w:p>
    <w:p>
      <w:pPr>
        <w:spacing w:before="300"/>
      </w:pP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D5F8A"/>
          <w:sz w:val="24"/>
          <w:szCs w:val="24"/>
        </w:rPr>
        <w:t xml:space="preserve">Partner, not vendor. $85K of engineering for $28K. Let’s build.</w:t>
      </w:r>
    </w:p>
    <w:p>
      <w:pPr>
        <w:pBdr>
          <w:top w:val="single" w:color="CCCCCC" w:sz="1" w:space="8"/>
        </w:pBdr>
        <w:spacing w:before="400"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William Lee  |  Full-Stack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Previous: Flowryd Control Centre M1 ($7,500) + M2 ($7,500) = $15,000 delivered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2026-02-28T16:13:34.696Z</dcterms:created>
  <dcterms:modified xsi:type="dcterms:W3CDTF">2026-02-28T16:13:34.697Z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