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Kitchen Sink</w:t>
      </w:r>
    </w:p>
    <w:p>
      <w:r>
        <w:rPr>
          <w:rFonts w:ascii="Calibri" w:hAnsi="Calibri"/>
        </w:rPr>
        <w:t xml:space="preserve">A fixture exercising every construct </w:t>
      </w:r>
      <w:r>
        <w:rPr>
          <w:rFonts w:ascii="Consolas" w:hAnsi="Consolas"/>
          <w:color w:val="333333"/>
          <w:sz w:val="20"/>
          <w:shd w:val="clear" w:fill="F5F5F5"/>
        </w:rPr>
        <w:t>md2docx.py</w:t>
      </w:r>
      <w:r>
        <w:rPr>
          <w:rFonts w:ascii="Calibri" w:hAnsi="Calibri"/>
        </w:rPr>
        <w:t xml:space="preserve"> supports, for </w:t>
      </w:r>
      <w:r>
        <w:rPr>
          <w:rFonts w:ascii="Consolas" w:hAnsi="Consolas"/>
          <w:color w:val="333333"/>
          <w:sz w:val="20"/>
          <w:shd w:val="clear" w:fill="F5F5F5"/>
        </w:rPr>
        <w:t>tests/test_roundtrip.py::test_roundtrip_kitchen_sink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333333"/>
          <w:sz w:val="20"/>
          <w:shd w:val="clear" w:fill="F5F5F5"/>
        </w:rPr>
        <w:t>CONTRACT:C3-ROUNDTRIP.1.1</w:t>
      </w:r>
      <w:r>
        <w:rPr>
          <w:rFonts w:ascii="Calibri" w:hAnsi="Calibri"/>
        </w:rPr>
        <w:t>).</w:t>
      </w:r>
    </w:p>
    <w:p>
      <w:r>
        <w:rPr>
          <w:rFonts w:ascii="Calibri" w:hAnsi="Calibri"/>
        </w:rPr>
        <w:t>This paragraph soft-wraps across several source lines that should join into one paragraph in the output.</w:t>
      </w:r>
    </w:p>
    <w:p>
      <w:pPr>
        <w:pStyle w:val="Heading2"/>
      </w:pPr>
      <w:r>
        <w:t>Headings</w:t>
      </w:r>
    </w:p>
    <w:p>
      <w:pPr>
        <w:pStyle w:val="Heading3"/>
      </w:pPr>
      <w:r>
        <w:t>Level three heading</w:t>
      </w:r>
    </w:p>
    <w:p>
      <w:pPr>
        <w:pStyle w:val="Heading4"/>
      </w:pPr>
      <w:r>
        <w:t>Level four heading</w:t>
      </w:r>
    </w:p>
    <w:p>
      <w:pPr>
        <w:pStyle w:val="Heading2"/>
      </w:pPr>
      <w:r>
        <w:t>Lists</w:t>
      </w:r>
    </w:p>
    <w:p>
      <w:pPr>
        <w:pStyle w:val="ListBullet"/>
      </w:pPr>
      <w:r>
        <w:rPr>
          <w:rFonts w:ascii="Calibri" w:hAnsi="Calibri"/>
        </w:rPr>
        <w:t>First bullet item</w:t>
      </w:r>
    </w:p>
    <w:p>
      <w:pPr>
        <w:pStyle w:val="ListBullet"/>
      </w:pPr>
      <w:r>
        <w:rPr>
          <w:rFonts w:ascii="Calibri" w:hAnsi="Calibri"/>
        </w:rPr>
        <w:t xml:space="preserve">Second bullet item with </w:t>
      </w:r>
      <w:r>
        <w:rPr>
          <w:rFonts w:ascii="Calibri" w:hAnsi="Calibri"/>
          <w:b/>
        </w:rPr>
        <w:t>bold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italic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color w:val="333333"/>
          <w:sz w:val="20"/>
          <w:shd w:val="clear" w:fill="F5F5F5"/>
        </w:rPr>
        <w:t>inline code</w:t>
      </w:r>
    </w:p>
    <w:p>
      <w:pPr>
        <w:pStyle w:val="ListBullet"/>
      </w:pPr>
      <w:r>
        <w:rPr>
          <w:rFonts w:ascii="Calibri" w:hAnsi="Calibri"/>
        </w:rPr>
        <w:t>Third bullet item</w:t>
      </w:r>
    </w:p>
    <w:p>
      <w:pPr>
        <w:ind w:left="360"/>
      </w:pPr>
      <w:r>
        <w:rPr>
          <w:rFonts w:ascii="Calibri" w:hAnsi="Calibri"/>
        </w:rPr>
        <w:t>1. First literal numbered item</w:t>
      </w:r>
    </w:p>
    <w:p>
      <w:pPr>
        <w:ind w:left="360"/>
      </w:pPr>
      <w:r>
        <w:rPr>
          <w:rFonts w:ascii="Calibri" w:hAnsi="Calibri"/>
        </w:rPr>
        <w:t>2. Second literal numbered item</w:t>
      </w:r>
    </w:p>
    <w:p>
      <w:pPr>
        <w:pStyle w:val="Heading2"/>
      </w:pPr>
      <w:r>
        <w:t>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EEEE"/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Name</w:t>
            </w:r>
          </w:p>
        </w:tc>
        <w:tc>
          <w:tcPr>
            <w:tcW w:type="dxa" w:w="2880"/>
            <w:shd w:val="clear" w:fill="EEEEEE"/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Kind</w:t>
            </w:r>
          </w:p>
        </w:tc>
        <w:tc>
          <w:tcPr>
            <w:tcW w:type="dxa" w:w="2880"/>
            <w:shd w:val="clear" w:fill="EEEEEE"/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neutral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built-in defaults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plum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purple accent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marked-docs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banner-forward</w:t>
            </w:r>
          </w:p>
        </w:tc>
      </w:tr>
    </w:tbl>
    <w:p>
      <w:pPr>
        <w:spacing w:after="40"/>
      </w:pPr>
    </w:p>
    <w:p>
      <w:pPr>
        <w:pStyle w:val="Heading2"/>
      </w:pPr>
      <w:r>
        <w:t>Code</w:t>
      </w:r>
    </w:p>
    <w:p>
      <w:pPr>
        <w:spacing w:after="0"/>
        <w:ind w:left="288"/>
        <w:shd w:val="clear" w:fill="F5F5F5"/>
      </w:pPr>
      <w:r>
        <w:rPr>
          <w:rFonts w:ascii="Consolas" w:hAnsi="Consolas"/>
          <w:color w:val="333333"/>
          <w:sz w:val="17"/>
        </w:rPr>
        <w:t>def convert(src, out_path):</w:t>
      </w:r>
    </w:p>
    <w:p>
      <w:pPr>
        <w:spacing w:after="0"/>
        <w:ind w:left="288"/>
        <w:shd w:val="clear" w:fill="F5F5F5"/>
      </w:pPr>
      <w:r>
        <w:rPr>
          <w:rFonts w:ascii="Consolas" w:hAnsi="Consolas"/>
          <w:color w:val="333333"/>
          <w:sz w:val="17"/>
        </w:rPr>
        <w:t xml:space="preserve">    return out_path</w:t>
      </w:r>
    </w:p>
    <w:p>
      <w:pPr>
        <w:spacing w:after="40"/>
      </w:pPr>
    </w:p>
    <w:p>
      <w:pPr>
        <w:pStyle w:val="Heading2"/>
      </w:pPr>
      <w:r>
        <w:t>Blockquote</w:t>
      </w:r>
    </w:p>
    <w:p>
      <w:pPr>
        <w:ind w:left="432"/>
        <w:pBdr>
          <w:left w:val="single" w:sz="18" w:space="12" w:color="888888"/>
        </w:pBdr>
      </w:pPr>
      <w:r>
        <w:rPr>
          <w:rFonts w:ascii="Calibri" w:hAnsi="Calibri"/>
          <w:color w:val="555555"/>
          <w:sz w:val="19"/>
        </w:rPr>
        <w:t>A blockquote line that spans two source lines and should join into one paragraph.</w:t>
      </w:r>
    </w:p>
    <w:p>
      <w:pPr>
        <w:pStyle w:val="Heading2"/>
      </w:pPr>
      <w:r>
        <w:t>Links and horizontal rule</w:t>
      </w:r>
    </w:p>
    <w:p>
      <w:r>
        <w:rPr>
          <w:rFonts w:ascii="Calibri" w:hAnsi="Calibri"/>
        </w:rPr>
        <w:t>An absolute link (https://example.com/docs) keeps its label and gets its URL appended in parens.</w:t>
      </w:r>
    </w:p>
    <w:p>
      <w:r>
        <w:rPr>
          <w:rFonts w:ascii="Calibri" w:hAnsi="Calibri"/>
        </w:rPr>
        <w:t xml:space="preserve">Final paragraph mixes three separate inline spans in one line: </w:t>
      </w:r>
      <w:r>
        <w:rPr>
          <w:rFonts w:ascii="Calibri" w:hAnsi="Calibri"/>
          <w:b/>
        </w:rPr>
        <w:t>bold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italic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color w:val="333333"/>
          <w:sz w:val="20"/>
          <w:shd w:val="clear" w:fill="F5F5F5"/>
        </w:rPr>
        <w:t>code</w:t>
      </w:r>
      <w:r>
        <w:rPr>
          <w:rFonts w:ascii="Calibri" w:hAnsi="Calibri"/>
        </w:rPr>
        <w:t>, each its own span rather than nested inside another.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sz w:val="20"/>
      </w:rPr>
      <w:t>CUI//TEST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/>
        <w:color w:val="000000"/>
        <w:sz w:val="20"/>
      </w:rPr>
      <w:t>CUI//TEST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0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2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o:source xmlns:o="urn:office180:md-source:0.1" schema="office180-md-source/0.1" encoding="utf-8" originalSha256="f4bc912013a84b1cacc449a84293f66f561bc258ee344f89c3a38a51b6cccb48" canonicalSha256="f4bc912013a84b1cacc449a84293f66f561bc258ee344f89c3a38a51b6cccb48">
  <o:original encoding="base64">KipDVUkvL1RFU1QqKgoKIyBLaXRjaGVuIFNpbmsKCkEgZml4dHVyZSBleGVyY2lzaW5nIGV2ZXJ5IGNvbnN0cnVjdCBgbWQyZG9jeC5weWAgc3VwcG9ydHMsIGZvciBgdGVzdHMvdGVzdF9yb3VuZHRyaXAucHk6OnRlc3Rfcm91bmR0cmlwX2tpdGNoZW5fc2lua2AgKGBDT05UUkFDVDpDMy1ST1VORFRSSVAuMS4xYCkuCgpUaGlzIHBhcmFncmFwaCBzb2Z0LXdyYXBzIGFjcm9zcyBzZXZlcmFsIHNvdXJjZSBsaW5lcyB0aGF0IHNob3VsZCBqb2luIGludG8gb25lIHBhcmFncmFwaCBpbiB0aGUgb3V0cHV0LgoKIyMgSGVhZGluZ3MKCiMjIyBMZXZlbCB0aHJlZSBoZWFkaW5nCgojIyMjIExldmVsIGZvdXIgaGVhZGluZwoKIyMgTGlzdHMKCi0gRmlyc3QgYnVsbGV0IGl0ZW0KCi0gU2Vjb25kIGJ1bGxldCBpdGVtIHdpdGggKipib2xkKiosICppdGFsaWMqLCBhbmQgYGlubGluZSBjb2RlYAoKLSBUaGlyZCBidWxsZXQgaXRlbQoKMS4gRmlyc3QgbGl0ZXJhbCBudW1iZXJlZCBpdGVtCgoyLiBTZWNvbmQgbGl0ZXJhbCBudW1iZXJlZCBpdGVtCgojIyBUYWJsZQoKfCBOYW1lIHwgS2luZCB8IE5vdGVzIHwKfCAtLS0gfCAtLS0gfCAtLS0gfAp8IG5ldXRyYWwgfCB0aGVtZSB8IGJ1aWx0LWluIGRlZmF1bHRzIHwKfCBwbHVtIHwgdGhlbWUgfCBwdXJwbGUgYWNjZW50IHwKfCBtYXJrZWQtZG9jcyB8IHRoZW1lIHwgYmFubmVyLWZvcndhcmQgfAoKIyMgQ29kZQoKYGBgCmRlZiBjb252ZXJ0KHNyYywgb3V0X3BhdGgpOgogICAgcmV0dXJuIG91dF9wYXRoCmBgYAoKIyMgQmxvY2txdW90ZQoKPiBBIGJsb2NrcXVvdGUgbGluZSB0aGF0IHNwYW5zIHR3byBzb3VyY2UgbGluZXMgYW5kIHNob3VsZCBqb2luIGludG8gb25lIHBhcmFncmFwaC4KCiMjIExpbmtzIGFuZCBob3Jpem9udGFsIHJ1bGUKCkFuIGFic29sdXRlIGxpbmsgKGh0dHBzOi8vZXhhbXBsZS5jb20vZG9jcykga2VlcHMgaXRzIGxhYmVsIGFuZCBnZXRzIGl0cyBVUkwgYXBwZW5kZWQgaW4gcGFyZW5zLgoKRmluYWwgcGFyYWdyYXBoIG1peGVzIHRocmVlIHNlcGFyYXRlIGlubGluZSBzcGFucyBpbiBvbmUgbGluZTogKipib2xkKiosICppdGFsaWMqLCBhbmQgYGNvZGVgLCBlYWNoIGl0cyBvd24gc3BhbiByYXRoZXIgdGhhbiBuZXN0ZWQgaW5zaWRlIGFub3RoZXIuCg==</o:original>
  <o:canonical encoding="base64">KipDVUkvL1RFU1QqKgoKIyBLaXRjaGVuIFNpbmsKCkEgZml4dHVyZSBleGVyY2lzaW5nIGV2ZXJ5IGNvbnN0cnVjdCBgbWQyZG9jeC5weWAgc3VwcG9ydHMsIGZvciBgdGVzdHMvdGVzdF9yb3VuZHRyaXAucHk6OnRlc3Rfcm91bmR0cmlwX2tpdGNoZW5fc2lua2AgKGBDT05UUkFDVDpDMy1ST1VORFRSSVAuMS4xYCkuCgpUaGlzIHBhcmFncmFwaCBzb2Z0LXdyYXBzIGFjcm9zcyBzZXZlcmFsIHNvdXJjZSBsaW5lcyB0aGF0IHNob3VsZCBqb2luIGludG8gb25lIHBhcmFncmFwaCBpbiB0aGUgb3V0cHV0LgoKIyMgSGVhZGluZ3MKCiMjIyBMZXZlbCB0aHJlZSBoZWFkaW5nCgojIyMjIExldmVsIGZvdXIgaGVhZGluZwoKIyMgTGlzdHMKCi0gRmlyc3QgYnVsbGV0IGl0ZW0KCi0gU2Vjb25kIGJ1bGxldCBpdGVtIHdpdGggKipib2xkKiosICppdGFsaWMqLCBhbmQgYGlubGluZSBjb2RlYAoKLSBUaGlyZCBidWxsZXQgaXRlbQoKMS4gRmlyc3QgbGl0ZXJhbCBudW1iZXJlZCBpdGVtCgoyLiBTZWNvbmQgbGl0ZXJhbCBudW1iZXJlZCBpdGVtCgojIyBUYWJsZQoKfCBOYW1lIHwgS2luZCB8IE5vdGVzIHwKfCAtLS0gfCAtLS0gfCAtLS0gfAp8IG5ldXRyYWwgfCB0aGVtZSB8IGJ1aWx0LWluIGRlZmF1bHRzIHwKfCBwbHVtIHwgdGhlbWUgfCBwdXJwbGUgYWNjZW50IHwKfCBtYXJrZWQtZG9jcyB8IHRoZW1lIHwgYmFubmVyLWZvcndhcmQgfAoKIyMgQ29kZQoKYGBgCmRlZiBjb252ZXJ0KHNyYywgb3V0X3BhdGgpOgogICAgcmV0dXJuIG91dF9wYXRoCmBgYAoKIyMgQmxvY2txdW90ZQoKPiBBIGJsb2NrcXVvdGUgbGluZSB0aGF0IHNwYW5zIHR3byBzb3VyY2UgbGluZXMgYW5kIHNob3VsZCBqb2luIGludG8gb25lIHBhcmFncmFwaC4KCiMjIExpbmtzIGFuZCBob3Jpem9udGFsIHJ1bGUKCkFuIGFic29sdXRlIGxpbmsgKGh0dHBzOi8vZXhhbXBsZS5jb20vZG9jcykga2VlcHMgaXRzIGxhYmVsIGFuZCBnZXRzIGl0cyBVUkwgYXBwZW5kZWQgaW4gcGFyZW5zLgoKRmluYWwgcGFyYWdyYXBoIG1peGVzIHRocmVlIHNlcGFyYXRlIGlubGluZSBzcGFucyBpbiBvbmUgbGluZTogKipib2xkKiosICppdGFsaWMqLCBhbmQgYGNvZGVgLCBlYWNoIGl0cyBvd24gc3BhbiByYXRoZXIgdGhhbiBuZXN0ZWQgaW5zaWRlIGFub3RoZXIuCg==</o:canonical>
</o:source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163F18-ADD4-55DF-96C5-43967E002C9C}">
  <ds:schemaRefs>
    <ds:schemaRef ds:uri="urn:office180:md-source:0.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/private/tmp/office180-evidence/source/supported-canonical.md</dc:subject>
  <dc:creator>python-docx</dc:creator>
  <cp:keywords>md2docx</cp:keywords>
  <dc:description>{"t":"md2docx/0.2.0","tpl":"Neutral","tplsha":"e0546fc39f7f1a65","srcsha":"f4bc912013a84b1c","gen":"2026-08-02T00:39Z"}</dc:description>
  <cp:lastModifiedBy/>
  <cp:revision>1</cp:revision>
  <dcterms:created xsi:type="dcterms:W3CDTF">2013-12-23T23:15:00Z</dcterms:created>
  <dcterms:modified xsi:type="dcterms:W3CDTF">2013-12-23T23:15:00Z</dcterms:modified>
  <cp:category>Neutral</cp:category>
</cp:coreProperties>
</file>