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12D504" w14:textId="77777777" w:rsidR="00FA0004" w:rsidRPr="00FA0004" w:rsidRDefault="00FA0004" w:rsidP="00FA0004">
      <w:pPr>
        <w:rPr>
          <w:b/>
          <w:bCs/>
        </w:rPr>
      </w:pPr>
      <w:r w:rsidRPr="00FA0004">
        <w:rPr>
          <w:b/>
          <w:bCs/>
        </w:rPr>
        <w:t>36 –</w:t>
      </w:r>
    </w:p>
    <w:p w14:paraId="1C82FF4E" w14:textId="77777777" w:rsidR="00FA0004" w:rsidRPr="00FA0004" w:rsidRDefault="00FA0004" w:rsidP="00FA0004">
      <w:pPr>
        <w:numPr>
          <w:ilvl w:val="0"/>
          <w:numId w:val="1"/>
        </w:numPr>
        <w:rPr>
          <w:lang w:val="es-CO"/>
        </w:rPr>
      </w:pPr>
      <w:r w:rsidRPr="00FA0004">
        <w:rPr>
          <w:b/>
          <w:bCs/>
          <w:lang w:val="es-CO"/>
        </w:rPr>
        <w:t>EXPERIMENTO 1: Exposición de 20 minutos a terminales de video (VDT)</w:t>
      </w:r>
      <w:r w:rsidRPr="00FA0004">
        <w:rPr>
          <w:lang w:val="es-CO"/>
        </w:rPr>
        <w:br/>
        <w:t>Participantes: 10 personas (5 mujeres y 5 hombres) con edades entre 24 y 32 años, y una edad promedio de 28.5 años.</w:t>
      </w:r>
    </w:p>
    <w:p w14:paraId="688908C2" w14:textId="77777777" w:rsidR="00FA0004" w:rsidRPr="00FA0004" w:rsidRDefault="00FA0004" w:rsidP="00FA0004">
      <w:pPr>
        <w:numPr>
          <w:ilvl w:val="0"/>
          <w:numId w:val="1"/>
        </w:numPr>
        <w:rPr>
          <w:lang w:val="es-CO"/>
        </w:rPr>
      </w:pPr>
      <w:r w:rsidRPr="00FA0004">
        <w:rPr>
          <w:b/>
          <w:bCs/>
          <w:lang w:val="es-CO"/>
        </w:rPr>
        <w:t>EXPERIMENTO 2: Exposición de 60 minutos a terminales de video (VDT)</w:t>
      </w:r>
      <w:r w:rsidRPr="00FA0004">
        <w:rPr>
          <w:lang w:val="es-CO"/>
        </w:rPr>
        <w:br/>
        <w:t>Se investigaron cambios en el poder de acomodación ocular después de exposiciones prolongadas.</w:t>
      </w:r>
    </w:p>
    <w:p w14:paraId="6C21E7DF" w14:textId="77777777" w:rsidR="00FA0004" w:rsidRPr="00FA0004" w:rsidRDefault="00FA0004" w:rsidP="00FA0004">
      <w:r w:rsidRPr="00FA0004">
        <w:pict w14:anchorId="48171EB6">
          <v:rect id="_x0000_i1037" style="width:0;height:1.5pt" o:hralign="center" o:hrstd="t" o:hr="t" fillcolor="#a0a0a0" stroked="f"/>
        </w:pict>
      </w:r>
    </w:p>
    <w:p w14:paraId="6BC93757" w14:textId="77777777" w:rsidR="00FA0004" w:rsidRPr="00FA0004" w:rsidRDefault="00FA0004" w:rsidP="00FA0004">
      <w:pPr>
        <w:rPr>
          <w:b/>
          <w:bCs/>
        </w:rPr>
      </w:pPr>
      <w:r w:rsidRPr="00FA0004">
        <w:rPr>
          <w:b/>
          <w:bCs/>
        </w:rPr>
        <w:t>39 –</w:t>
      </w:r>
    </w:p>
    <w:p w14:paraId="215D0303" w14:textId="77777777" w:rsidR="00FA0004" w:rsidRPr="00FA0004" w:rsidRDefault="00FA0004" w:rsidP="00FA0004">
      <w:pPr>
        <w:numPr>
          <w:ilvl w:val="0"/>
          <w:numId w:val="2"/>
        </w:numPr>
      </w:pPr>
      <w:r w:rsidRPr="00FA0004">
        <w:t>Se investigaron los efectos de la tecnología de pantalla en la fatiga visual mediante sesiones prolongadas de lectura con un libro impreso, un iPad de primera generación y un Kindle DX con pantalla de tinta electrónica.</w:t>
      </w:r>
    </w:p>
    <w:p w14:paraId="08494E0E" w14:textId="77777777" w:rsidR="00FA0004" w:rsidRPr="00FA0004" w:rsidRDefault="00FA0004" w:rsidP="00FA0004">
      <w:pPr>
        <w:numPr>
          <w:ilvl w:val="0"/>
          <w:numId w:val="2"/>
        </w:numPr>
      </w:pPr>
      <w:r w:rsidRPr="00FA0004">
        <w:t xml:space="preserve">Según la </w:t>
      </w:r>
      <w:r w:rsidRPr="00FA0004">
        <w:rPr>
          <w:b/>
          <w:bCs/>
        </w:rPr>
        <w:t>Clasificación Internacional de Enfermedades (CIE-10)</w:t>
      </w:r>
      <w:r w:rsidRPr="00FA0004">
        <w:t xml:space="preserve"> de la OMS, la fatiga visual (H53.1) es una alteración visual subjetiva caracterizada por </w:t>
      </w:r>
      <w:r w:rsidRPr="00FA0004">
        <w:rPr>
          <w:b/>
          <w:bCs/>
        </w:rPr>
        <w:t>fatiga, dolor alrededor de los ojos, visión borrosa o dolor de cabeza</w:t>
      </w:r>
      <w:r w:rsidRPr="00FA0004">
        <w:t>, típicamente después de actividades visuales prolongadas.</w:t>
      </w:r>
    </w:p>
    <w:p w14:paraId="7F4418E4" w14:textId="77777777" w:rsidR="00FA0004" w:rsidRPr="00FA0004" w:rsidRDefault="00FA0004" w:rsidP="00FA0004">
      <w:pPr>
        <w:numPr>
          <w:ilvl w:val="0"/>
          <w:numId w:val="2"/>
        </w:numPr>
      </w:pPr>
      <w:r w:rsidRPr="00FA0004">
        <w:t>Estudios previos muestran que las pantallas LCD provocan mayor fatiga visual que los libros impresos y reducen el rendimiento de lectura. En contraste, lectores de tinta electrónica como el Sony eReader tienen mejores tiempos de búsqueda y mayor precisión en tareas visuales, aunque no muestran diferencias significativas en la fatiga visual comparados con LCD.</w:t>
      </w:r>
    </w:p>
    <w:p w14:paraId="727BF0AA" w14:textId="77777777" w:rsidR="00FA0004" w:rsidRPr="00FA0004" w:rsidRDefault="00FA0004" w:rsidP="00FA0004">
      <w:pPr>
        <w:numPr>
          <w:ilvl w:val="0"/>
          <w:numId w:val="2"/>
        </w:numPr>
      </w:pPr>
      <w:r w:rsidRPr="00FA0004">
        <w:t>El experimento consistió en sesiones de lectura prolongada (1 hora) en tres dispositivos: LCD, tinta electrónica y libro impreso, con mediciones objetivas y subjetivas de fatiga visual al inicio y al final de cada sesión. Factores como el tamaño de fuente, tipo de letra y número de palabras por página se mantuvieron constantes.</w:t>
      </w:r>
    </w:p>
    <w:p w14:paraId="17CCA41E" w14:textId="77777777" w:rsidR="00FA0004" w:rsidRPr="00FA0004" w:rsidRDefault="00FA0004" w:rsidP="00FA0004">
      <w:r w:rsidRPr="00FA0004">
        <w:pict w14:anchorId="3A0208A8">
          <v:rect id="_x0000_i1038" style="width:0;height:1.5pt" o:hralign="center" o:hrstd="t" o:hr="t" fillcolor="#a0a0a0" stroked="f"/>
        </w:pict>
      </w:r>
    </w:p>
    <w:p w14:paraId="20C0DE34" w14:textId="77777777" w:rsidR="00FA0004" w:rsidRPr="00FA0004" w:rsidRDefault="00FA0004" w:rsidP="00FA0004">
      <w:pPr>
        <w:rPr>
          <w:b/>
          <w:bCs/>
        </w:rPr>
      </w:pPr>
      <w:r w:rsidRPr="00FA0004">
        <w:rPr>
          <w:b/>
          <w:bCs/>
        </w:rPr>
        <w:t>40 –</w:t>
      </w:r>
    </w:p>
    <w:p w14:paraId="2219396C" w14:textId="77777777" w:rsidR="00FA0004" w:rsidRPr="00FA0004" w:rsidRDefault="00FA0004" w:rsidP="00FA0004">
      <w:pPr>
        <w:numPr>
          <w:ilvl w:val="0"/>
          <w:numId w:val="3"/>
        </w:numPr>
      </w:pPr>
      <w:r w:rsidRPr="00FA0004">
        <w:t xml:space="preserve">La fatiga visual depende de la </w:t>
      </w:r>
      <w:r w:rsidRPr="00FA0004">
        <w:rPr>
          <w:b/>
          <w:bCs/>
        </w:rPr>
        <w:t>carga de trabajo</w:t>
      </w:r>
      <w:r w:rsidRPr="00FA0004">
        <w:t xml:space="preserve">, que resulta de las exigencias laborales y las capacidades individuales. Los </w:t>
      </w:r>
      <w:r w:rsidRPr="00FA0004">
        <w:rPr>
          <w:b/>
          <w:bCs/>
        </w:rPr>
        <w:t>errores de refracción</w:t>
      </w:r>
      <w:r w:rsidRPr="00FA0004">
        <w:t>, como el astigmatismo, reducen estas capacidades e incrementan la carga de trabajo visual.</w:t>
      </w:r>
    </w:p>
    <w:p w14:paraId="3CBCB77B" w14:textId="77777777" w:rsidR="00FA0004" w:rsidRPr="00FA0004" w:rsidRDefault="00FA0004" w:rsidP="00FA0004">
      <w:pPr>
        <w:numPr>
          <w:ilvl w:val="0"/>
          <w:numId w:val="3"/>
        </w:numPr>
      </w:pPr>
      <w:r w:rsidRPr="00FA0004">
        <w:lastRenderedPageBreak/>
        <w:t xml:space="preserve">Se evaluó la fatiga visual bajo diferentes condiciones de luz en grupos de personas con y sin errores de refracción. Las pruebas se realizaron entre las 8:00 a.m. y las 13:00 p.m., con las siguientes características: </w:t>
      </w:r>
    </w:p>
    <w:p w14:paraId="2ED7BBF5" w14:textId="77777777" w:rsidR="00FA0004" w:rsidRPr="00FA0004" w:rsidRDefault="00FA0004" w:rsidP="00FA0004">
      <w:pPr>
        <w:numPr>
          <w:ilvl w:val="1"/>
          <w:numId w:val="3"/>
        </w:numPr>
      </w:pPr>
      <w:r w:rsidRPr="00FA0004">
        <w:t>Cada participante realizó la misma tarea visual cuatro veces por 4 horas con un descanso de 10 minutos después de 2 horas.</w:t>
      </w:r>
    </w:p>
    <w:p w14:paraId="25526A6A" w14:textId="77777777" w:rsidR="00FA0004" w:rsidRPr="00FA0004" w:rsidRDefault="00FA0004" w:rsidP="00FA0004">
      <w:pPr>
        <w:numPr>
          <w:ilvl w:val="1"/>
          <w:numId w:val="3"/>
        </w:numPr>
      </w:pPr>
      <w:r w:rsidRPr="00FA0004">
        <w:t>Las condiciones de luz se seleccionaron aleatoriamente, y los intervalos entre pruebas variaron de 2 a 7 días.</w:t>
      </w:r>
    </w:p>
    <w:p w14:paraId="65C93820" w14:textId="77777777" w:rsidR="00FA0004" w:rsidRPr="00FA0004" w:rsidRDefault="00FA0004" w:rsidP="00FA0004">
      <w:pPr>
        <w:numPr>
          <w:ilvl w:val="0"/>
          <w:numId w:val="3"/>
        </w:numPr>
      </w:pPr>
      <w:r w:rsidRPr="00FA0004">
        <w:t xml:space="preserve">Se midieron dos parámetros antes y después del trabajo: </w:t>
      </w:r>
    </w:p>
    <w:p w14:paraId="737B18BC" w14:textId="77777777" w:rsidR="00FA0004" w:rsidRPr="00FA0004" w:rsidRDefault="00FA0004" w:rsidP="00FA0004">
      <w:pPr>
        <w:numPr>
          <w:ilvl w:val="1"/>
          <w:numId w:val="3"/>
        </w:numPr>
      </w:pPr>
      <w:r w:rsidRPr="00FA0004">
        <w:rPr>
          <w:b/>
          <w:bCs/>
        </w:rPr>
        <w:t>Punto de visión cercana (NVP):</w:t>
      </w:r>
      <w:r w:rsidRPr="00FA0004">
        <w:t xml:space="preserve"> Distancia mínima en la que se podía leer texto con ambos ojos.</w:t>
      </w:r>
    </w:p>
    <w:p w14:paraId="5470E0D4" w14:textId="77777777" w:rsidR="00FA0004" w:rsidRPr="00FA0004" w:rsidRDefault="00FA0004" w:rsidP="00FA0004">
      <w:pPr>
        <w:numPr>
          <w:ilvl w:val="1"/>
          <w:numId w:val="3"/>
        </w:numPr>
      </w:pPr>
      <w:r w:rsidRPr="00FA0004">
        <w:rPr>
          <w:b/>
          <w:bCs/>
        </w:rPr>
        <w:t>Tolerancia a lentes dispersoras (DLT):</w:t>
      </w:r>
      <w:r w:rsidRPr="00FA0004">
        <w:t xml:space="preserve"> Se determinó la fuerza de lentes dispersoras necesarias para mantener la agudeza visual completa a 5 metros de distancia.</w:t>
      </w:r>
    </w:p>
    <w:p w14:paraId="7AB44845" w14:textId="77777777" w:rsidR="00B22D56" w:rsidRDefault="00B22D56"/>
    <w:sectPr w:rsidR="00B22D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931EC"/>
    <w:multiLevelType w:val="multilevel"/>
    <w:tmpl w:val="F46EB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8A3F35"/>
    <w:multiLevelType w:val="multilevel"/>
    <w:tmpl w:val="0DD4C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9D6E3B"/>
    <w:multiLevelType w:val="multilevel"/>
    <w:tmpl w:val="40F8E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611315">
    <w:abstractNumId w:val="1"/>
  </w:num>
  <w:num w:numId="2" w16cid:durableId="1344941659">
    <w:abstractNumId w:val="2"/>
  </w:num>
  <w:num w:numId="3" w16cid:durableId="431628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D56"/>
    <w:rsid w:val="00A56ECB"/>
    <w:rsid w:val="00B22D56"/>
    <w:rsid w:val="00FA0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E1ACEC-225E-42EC-AACE-2AA0C0C87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22D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22D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22D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22D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22D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22D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22D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22D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22D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22D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22D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22D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22D5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22D5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22D5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22D5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22D5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22D5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22D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22D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22D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22D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22D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22D5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22D5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22D5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22D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22D5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22D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043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5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382</Words>
  <Characters>2178</Characters>
  <Application>Microsoft Office Word</Application>
  <DocSecurity>0</DocSecurity>
  <Lines>18</Lines>
  <Paragraphs>5</Paragraphs>
  <ScaleCrop>false</ScaleCrop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Andres Gomez Roa</dc:creator>
  <cp:keywords/>
  <dc:description/>
  <cp:lastModifiedBy>William Andres Gomez Roa</cp:lastModifiedBy>
  <cp:revision>2</cp:revision>
  <dcterms:created xsi:type="dcterms:W3CDTF">2024-11-26T01:08:00Z</dcterms:created>
  <dcterms:modified xsi:type="dcterms:W3CDTF">2024-11-26T01:08:00Z</dcterms:modified>
</cp:coreProperties>
</file>