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D4" w:rsidRPr="00D42C5B" w:rsidRDefault="00A44CD4" w:rsidP="00A44CD4">
      <w:pPr>
        <w:shd w:val="clear" w:color="auto" w:fill="DFE7ED"/>
        <w:spacing w:after="0" w:line="552" w:lineRule="atLeast"/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noProof/>
          <w:color w:val="9C9E9F"/>
          <w:sz w:val="21"/>
          <w:szCs w:val="21"/>
          <w:lang w:eastAsia="pt-BR"/>
        </w:rPr>
        <w:drawing>
          <wp:inline distT="0" distB="0" distL="0" distR="0">
            <wp:extent cx="847725" cy="84872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78" cy="8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 xml:space="preserve"> </w:t>
      </w:r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República Federa</w:t>
      </w:r>
      <w:r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tiva do Brasil Poder Judiciário</w:t>
      </w:r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</w:t>
      </w:r>
      <w:hyperlink r:id="rId6" w:tgtFrame="_blank" w:tooltip="Portal do Supremo Tribunal Federal - STF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STF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7" w:tgtFrame="_blank" w:tooltip="Portal do Conselho Nacional de Justiça - CNJ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CNJ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8" w:tgtFrame="_blank" w:tooltip="Conselho da Justiça Federal - CJF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CJF</w:t>
        </w:r>
      </w:hyperlink>
      <w:r w:rsidRPr="00D42C5B">
        <w:rPr>
          <w:rFonts w:ascii="Verdana" w:eastAsia="Times New Roman" w:hAnsi="Verdana" w:cs="Times New Roman"/>
          <w:color w:val="9C9E9F"/>
          <w:sz w:val="21"/>
          <w:szCs w:val="21"/>
          <w:lang w:eastAsia="pt-BR"/>
        </w:rPr>
        <w:t> | </w:t>
      </w:r>
      <w:hyperlink r:id="rId9" w:tgtFrame="_blank" w:tooltip="Escola Nacional de Formação e Aperfeiçoamento de Magistrados - Enfam" w:history="1">
        <w:r w:rsidRPr="00D42C5B">
          <w:rPr>
            <w:rFonts w:ascii="Verdana" w:eastAsia="Times New Roman" w:hAnsi="Verdana" w:cs="Times New Roman"/>
            <w:color w:val="9C9E9F"/>
            <w:sz w:val="21"/>
            <w:szCs w:val="21"/>
            <w:lang w:eastAsia="pt-BR"/>
          </w:rPr>
          <w:t>ENFAM</w:t>
        </w:r>
      </w:hyperlink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</w:p>
    <w:p w:rsidR="00A44CD4" w:rsidRPr="00A44CD4" w:rsidRDefault="00A44CD4" w:rsidP="00A44CD4">
      <w:pPr>
        <w:spacing w:after="0" w:line="240" w:lineRule="auto"/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V</w:t>
      </w:r>
      <w:r w:rsidRPr="00A44CD4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ocê está em: </w:t>
      </w:r>
      <w:hyperlink r:id="rId10" w:history="1">
        <w:proofErr w:type="gramStart"/>
        <w:r w:rsidRPr="00A44CD4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Início</w:t>
        </w:r>
      </w:hyperlink>
      <w:r w:rsidRPr="00A44CD4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</w:t>
      </w:r>
      <w:proofErr w:type="gramEnd"/>
      <w:r w:rsidRPr="00A44CD4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</w:t>
      </w:r>
      <w:hyperlink r:id="rId11" w:history="1">
        <w:r w:rsidRPr="00A44CD4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Comunicação</w:t>
        </w:r>
      </w:hyperlink>
      <w:r w:rsidRPr="00A44CD4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  </w:t>
      </w:r>
      <w:hyperlink r:id="rId12" w:history="1">
        <w:r w:rsidRPr="00A44CD4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Notícias</w:t>
        </w:r>
      </w:hyperlink>
      <w:r w:rsidRPr="00A44CD4">
        <w:rPr>
          <w:rFonts w:ascii="Verdana" w:eastAsia="Times New Roman" w:hAnsi="Verdana" w:cs="Times New Roman"/>
          <w:color w:val="575756"/>
          <w:sz w:val="20"/>
          <w:szCs w:val="20"/>
          <w:lang w:eastAsia="pt-BR"/>
        </w:rPr>
        <w:t>  &gt;  </w:t>
      </w:r>
      <w:hyperlink r:id="rId13" w:history="1">
        <w:r w:rsidRPr="00A44CD4">
          <w:rPr>
            <w:rFonts w:ascii="Verdana" w:eastAsia="Times New Roman" w:hAnsi="Verdana" w:cs="Times New Roman"/>
            <w:color w:val="575756"/>
            <w:sz w:val="20"/>
            <w:szCs w:val="20"/>
            <w:u w:val="single"/>
            <w:lang w:eastAsia="pt-BR"/>
          </w:rPr>
          <w:t>Notícias</w:t>
        </w:r>
      </w:hyperlink>
    </w:p>
    <w:p w:rsidR="00A44CD4" w:rsidRPr="00A44CD4" w:rsidRDefault="00A44CD4" w:rsidP="00A44CD4">
      <w:pPr>
        <w:spacing w:after="0" w:line="240" w:lineRule="atLeast"/>
        <w:rPr>
          <w:rFonts w:ascii="Verdana" w:eastAsia="Times New Roman" w:hAnsi="Verdana" w:cs="Times New Roman"/>
          <w:b/>
          <w:bCs/>
          <w:color w:val="575756"/>
          <w:sz w:val="39"/>
          <w:szCs w:val="39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575756"/>
          <w:sz w:val="39"/>
          <w:szCs w:val="39"/>
          <w:lang w:eastAsia="pt-BR"/>
        </w:rPr>
        <w:t>Notícias</w:t>
      </w:r>
    </w:p>
    <w:p w:rsidR="00A44CD4" w:rsidRPr="00A44CD4" w:rsidRDefault="00A44CD4" w:rsidP="00A44CD4">
      <w:pPr>
        <w:spacing w:after="0" w:line="240" w:lineRule="auto"/>
        <w:rPr>
          <w:rFonts w:ascii="Verdana" w:eastAsia="Times New Roman" w:hAnsi="Verdana" w:cs="Times New Roman"/>
          <w:b/>
          <w:bCs/>
          <w:color w:val="595656"/>
          <w:sz w:val="17"/>
          <w:szCs w:val="17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595656"/>
          <w:sz w:val="17"/>
          <w:szCs w:val="17"/>
          <w:lang w:eastAsia="pt-BR"/>
        </w:rPr>
        <w:t>RECURSO REPETITIVO</w:t>
      </w:r>
      <w:bookmarkStart w:id="0" w:name="_GoBack"/>
      <w:bookmarkEnd w:id="0"/>
    </w:p>
    <w:p w:rsidR="00A44CD4" w:rsidRPr="00A44CD4" w:rsidRDefault="00A44CD4" w:rsidP="00A44CD4">
      <w:pPr>
        <w:spacing w:after="0" w:line="390" w:lineRule="atLeast"/>
        <w:rPr>
          <w:rFonts w:ascii="Verdana" w:eastAsia="Times New Roman" w:hAnsi="Verdana" w:cs="Times New Roman"/>
          <w:color w:val="595656"/>
          <w:sz w:val="17"/>
          <w:szCs w:val="17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17"/>
          <w:szCs w:val="17"/>
          <w:lang w:eastAsia="pt-BR"/>
        </w:rPr>
        <w:t>09/02/2017 18:51</w:t>
      </w:r>
    </w:p>
    <w:p w:rsidR="00A44CD4" w:rsidRPr="00A44CD4" w:rsidRDefault="00A44CD4" w:rsidP="00A44CD4">
      <w:pPr>
        <w:spacing w:before="300" w:after="0" w:line="390" w:lineRule="atLeast"/>
        <w:outlineLvl w:val="0"/>
        <w:rPr>
          <w:rFonts w:ascii="Verdana" w:eastAsia="Times New Roman" w:hAnsi="Verdana" w:cs="Times New Roman"/>
          <w:b/>
          <w:bCs/>
          <w:color w:val="9D362E"/>
          <w:kern w:val="36"/>
          <w:sz w:val="33"/>
          <w:szCs w:val="33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9D362E"/>
          <w:kern w:val="36"/>
          <w:sz w:val="33"/>
          <w:szCs w:val="33"/>
          <w:lang w:eastAsia="pt-BR"/>
        </w:rPr>
        <w:t>Previsão contratual é exigida para capitalização de juros em qualquer periodicidade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A Segunda Seção do Superior Tribunal de Justiça (STJ) reafirmou, agora no rito dos recursos repetitivos, o entendimento de que a capitalização de juros (conhecida como juros sobre juros) nos contratos de mútuo somente é possível com previsão contratual.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 seção já havia reconhecido em 2015 a necessidade de prévia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pactuação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nos contratos para a capitalização de juros com periodicidade inferior à anual, jurisprudência que foi consolidada na </w:t>
      </w:r>
      <w:hyperlink r:id="rId14" w:tgtFrame="_blank" w:history="1">
        <w:r w:rsidRPr="00A44CD4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lang w:eastAsia="pt-BR"/>
          </w:rPr>
          <w:t>Súmula 539</w:t>
        </w:r>
      </w:hyperlink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do STJ.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Na última quarta-feira (8), ao julgar sob o rito dos repetitivos um recurso do banco HSBC que questionava a necessidade de previsão contratual para a capitalização anual, o colegiado firmou a seguinte tese: “A cobrança de juros capitalizados nos contratos de mútuo é permitida quando houver expressa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pactuação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.” O processo está cadastrado no sistema de repetitivos do STJ como </w:t>
      </w:r>
      <w:hyperlink r:id="rId15" w:tgtFrame="_blank" w:history="1">
        <w:r w:rsidRPr="00A44CD4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u w:val="single"/>
            <w:lang w:eastAsia="pt-BR"/>
          </w:rPr>
          <w:t>Tema 953</w:t>
        </w:r>
      </w:hyperlink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Segundo o ministro relator do processo, Marco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Buzzi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, a capitalização de juros é permitida mas exige a anuência prévia do mutuário, que deve ser informado das condições antes de assinar um contrato com a instituição financeira.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O ministro destacou que a previsão legal da cobrança não significa que ela seja automática, como defenderam o banco HSBC e a Federação Brasileira de Bancos (Febraban), que atuou como </w:t>
      </w:r>
      <w:proofErr w:type="spellStart"/>
      <w:r w:rsidRPr="00A44CD4">
        <w:rPr>
          <w:rFonts w:ascii="Verdana" w:eastAsia="Times New Roman" w:hAnsi="Verdana" w:cs="Times New Roman"/>
          <w:i/>
          <w:iCs/>
          <w:color w:val="595656"/>
          <w:sz w:val="20"/>
          <w:szCs w:val="20"/>
          <w:lang w:eastAsia="pt-BR"/>
        </w:rPr>
        <w:t>amicus</w:t>
      </w:r>
      <w:proofErr w:type="spellEnd"/>
      <w:r w:rsidRPr="00A44CD4">
        <w:rPr>
          <w:rFonts w:ascii="Verdana" w:eastAsia="Times New Roman" w:hAnsi="Verdana" w:cs="Times New Roman"/>
          <w:i/>
          <w:iCs/>
          <w:color w:val="595656"/>
          <w:sz w:val="20"/>
          <w:szCs w:val="20"/>
          <w:lang w:eastAsia="pt-BR"/>
        </w:rPr>
        <w:t xml:space="preserve"> </w:t>
      </w:r>
      <w:proofErr w:type="spellStart"/>
      <w:r w:rsidRPr="00A44CD4">
        <w:rPr>
          <w:rFonts w:ascii="Verdana" w:eastAsia="Times New Roman" w:hAnsi="Verdana" w:cs="Times New Roman"/>
          <w:i/>
          <w:iCs/>
          <w:color w:val="595656"/>
          <w:sz w:val="20"/>
          <w:szCs w:val="20"/>
          <w:lang w:eastAsia="pt-BR"/>
        </w:rPr>
        <w:t>curiae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no processo.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595656"/>
          <w:sz w:val="20"/>
          <w:szCs w:val="20"/>
          <w:lang w:eastAsia="pt-BR"/>
        </w:rPr>
        <w:t>Informação adequada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“A existência de uma norma permissiva, portanto, é requisito necessário e imprescindível para a cobrança do encargo capitalização, porém não suficiente/bastante, haja vista estar sempre atrelado ao expresso ajuste entre as partes contratantes, principalmente em virtude dos princípios da liberdade de contratar, da boa-fé e da adequada informação”, argumentou o ministro.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O magistrado destacou decisões do STJ no sentido de permitir a capitalização dos juros, mas nos casos destacados, há expressa menção à necessidade de prévio ajuste entre as partes contratantes.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A exceção que ainda está sendo discutida no STJ são os financiamentos do Sistema Financeiro de Habitação (SFH) que utilizam a Tabela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Price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. No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REsp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 951.894, afetado como recurso </w:t>
      </w: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lastRenderedPageBreak/>
        <w:t xml:space="preserve">repetitivo, a Corte Especial vai decidir sobre a existência ou não da capitalização de juros na própria fórmula matemática da Tabela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Price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O STJ realizou </w:t>
      </w:r>
      <w:hyperlink r:id="rId16" w:tgtFrame="_blank" w:history="1">
        <w:r w:rsidRPr="00A44CD4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u w:val="single"/>
            <w:lang w:eastAsia="pt-BR"/>
          </w:rPr>
          <w:t>audiência pública</w:t>
        </w:r>
      </w:hyperlink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sobre o assunto em fevereiro de 2016. O tema está cadastrado sob o número 909 no </w:t>
      </w:r>
      <w:hyperlink r:id="rId17" w:tgtFrame="_blank" w:history="1">
        <w:r w:rsidRPr="00A44CD4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u w:val="single"/>
            <w:lang w:eastAsia="pt-BR"/>
          </w:rPr>
          <w:t>sistema</w:t>
        </w:r>
      </w:hyperlink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de repetitivos.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595656"/>
          <w:sz w:val="20"/>
          <w:szCs w:val="20"/>
          <w:lang w:eastAsia="pt-BR"/>
        </w:rPr>
        <w:t>Aplicação condicionada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 xml:space="preserve">O ministro ressaltou que há entendimento pacífico no STJ de que a capitalização inferior a um ano depende de </w:t>
      </w:r>
      <w:proofErr w:type="spellStart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pactuação</w:t>
      </w:r>
      <w:proofErr w:type="spellEnd"/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, e que por isso seria impossível permitir a capitalização anual sem previsão contratual expressa, já que seria a única modalidade no sistema financeiro em que ela incidiria de maneira automática, apesar de não existir norma no Código Civil que o autorize dessa forma.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“A capitalização de juros é permitida em inúmeros diplomas normativos em periodicidades distintas (mensal, semestral, anual), e não é pela circunstância de a lei autorizar a sua cobrança que será automaticamente devida pelo tomador do empréstimo em qualquer dessas modalidades”, argumentou o magistrado.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No caso específico, os ministros deram provimento ao recurso apenas para afastar a multa aplicada ao banco em embargos de declaração, por entenderem que não houve má-fé da instituição financeira.</w:t>
      </w:r>
    </w:p>
    <w:p w:rsidR="00A44CD4" w:rsidRPr="00A44CD4" w:rsidRDefault="00A44CD4" w:rsidP="00A44CD4">
      <w:pPr>
        <w:spacing w:before="240" w:after="240" w:line="300" w:lineRule="atLeast"/>
        <w:jc w:val="both"/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</w:pPr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Leia o </w:t>
      </w:r>
      <w:hyperlink r:id="rId18" w:tgtFrame="_blank" w:history="1">
        <w:r w:rsidRPr="00A44CD4">
          <w:rPr>
            <w:rFonts w:ascii="Verdana" w:eastAsia="Times New Roman" w:hAnsi="Verdana" w:cs="Times New Roman"/>
            <w:b/>
            <w:bCs/>
            <w:color w:val="2465A4"/>
            <w:sz w:val="20"/>
            <w:szCs w:val="20"/>
            <w:u w:val="single"/>
            <w:lang w:eastAsia="pt-BR"/>
          </w:rPr>
          <w:t>voto</w:t>
        </w:r>
      </w:hyperlink>
      <w:r w:rsidRPr="00A44CD4">
        <w:rPr>
          <w:rFonts w:ascii="Verdana" w:eastAsia="Times New Roman" w:hAnsi="Verdana" w:cs="Times New Roman"/>
          <w:color w:val="595656"/>
          <w:sz w:val="20"/>
          <w:szCs w:val="20"/>
          <w:lang w:eastAsia="pt-BR"/>
        </w:rPr>
        <w:t> do relator.</w:t>
      </w:r>
    </w:p>
    <w:p w:rsidR="00A44CD4" w:rsidRPr="00A44CD4" w:rsidRDefault="00A44CD4" w:rsidP="00A44CD4">
      <w:pPr>
        <w:spacing w:line="240" w:lineRule="auto"/>
        <w:textAlignment w:val="center"/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</w:pPr>
      <w:r w:rsidRPr="00A44CD4"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  <w:t>Esta notícia refere-se ao(s) processo(s):</w:t>
      </w:r>
      <w:proofErr w:type="spellStart"/>
      <w:r w:rsidRPr="00A44CD4"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  <w:fldChar w:fldCharType="begin"/>
      </w:r>
      <w:r w:rsidRPr="00A44CD4"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  <w:instrText xml:space="preserve"> HYPERLINK "https://ww2.stj.jus.br/processo/pesquisa/?aplicacao=processos.ea&amp;tipoPesquisa=tipoPesquisaGenerica&amp;termo=REsp%201388972" \t "janela_processos" </w:instrText>
      </w:r>
      <w:r w:rsidRPr="00A44CD4"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  <w:fldChar w:fldCharType="separate"/>
      </w:r>
      <w:r w:rsidRPr="00A44CD4">
        <w:rPr>
          <w:rFonts w:ascii="Verdana" w:eastAsia="Times New Roman" w:hAnsi="Verdana" w:cs="Times New Roman"/>
          <w:b/>
          <w:bCs/>
          <w:color w:val="9D362E"/>
          <w:sz w:val="18"/>
          <w:szCs w:val="18"/>
          <w:u w:val="single"/>
          <w:lang w:eastAsia="pt-BR"/>
        </w:rPr>
        <w:t>REsp</w:t>
      </w:r>
      <w:proofErr w:type="spellEnd"/>
      <w:r w:rsidRPr="00A44CD4">
        <w:rPr>
          <w:rFonts w:ascii="Verdana" w:eastAsia="Times New Roman" w:hAnsi="Verdana" w:cs="Times New Roman"/>
          <w:b/>
          <w:bCs/>
          <w:color w:val="9D362E"/>
          <w:sz w:val="18"/>
          <w:szCs w:val="18"/>
          <w:u w:val="single"/>
          <w:lang w:eastAsia="pt-BR"/>
        </w:rPr>
        <w:t xml:space="preserve"> 1388972</w:t>
      </w:r>
      <w:r w:rsidRPr="00A44CD4">
        <w:rPr>
          <w:rFonts w:ascii="Verdana" w:eastAsia="Times New Roman" w:hAnsi="Verdana" w:cs="Times New Roman"/>
          <w:b/>
          <w:bCs/>
          <w:color w:val="575756"/>
          <w:sz w:val="18"/>
          <w:szCs w:val="18"/>
          <w:lang w:eastAsia="pt-BR"/>
        </w:rPr>
        <w:fldChar w:fldCharType="end"/>
      </w:r>
    </w:p>
    <w:p w:rsidR="00A44CD4" w:rsidRDefault="00A44CD4">
      <w:r w:rsidRPr="00A44CD4">
        <w:rPr>
          <w:b/>
        </w:rPr>
        <w:t>Fonte:</w:t>
      </w:r>
      <w:r w:rsidRPr="00A44CD4">
        <w:t>http://www.stj.jus.br/sites/STJ/default/pt_BR/Comunica%C3%A7%C3%A3o/noticias/Not%C3%ADcias/Previs%C3%A3o-contratual-%C3%A9-exigida-para-capitaliza%C3%A7%C3%A3o-de-juros-em-qualquer-periodicidade</w:t>
      </w:r>
    </w:p>
    <w:sectPr w:rsidR="00A44CD4" w:rsidSect="00A44CD4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543F"/>
    <w:multiLevelType w:val="multilevel"/>
    <w:tmpl w:val="99A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D4"/>
    <w:rsid w:val="00621070"/>
    <w:rsid w:val="00780916"/>
    <w:rsid w:val="00A44CD4"/>
    <w:rsid w:val="00E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38E8D-C22C-43E3-9F08-A29E312B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49208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3" w:color="C22F18"/>
                                <w:right w:val="none" w:sz="0" w:space="0" w:color="auto"/>
                              </w:divBdr>
                            </w:div>
                            <w:div w:id="15580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494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7070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6996">
                                      <w:marLeft w:val="750"/>
                                      <w:marRight w:val="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0880">
                                          <w:marLeft w:val="291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1949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65682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jf.jus.br/cjf/" TargetMode="External"/><Relationship Id="rId13" Type="http://schemas.openxmlformats.org/officeDocument/2006/relationships/hyperlink" Target="http://www.stj.jus.br/sites/STJ/default/pt_BR/Comunica%C3%A7%C3%A3o/noticias/Not%C3%ADcias" TargetMode="External"/><Relationship Id="rId18" Type="http://schemas.openxmlformats.org/officeDocument/2006/relationships/hyperlink" Target="http://www.stj.jus.br/static_files/STJ/Midias/arquivos/Noticias/RESP%20138897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j.jus.br/" TargetMode="External"/><Relationship Id="rId12" Type="http://schemas.openxmlformats.org/officeDocument/2006/relationships/hyperlink" Target="http://www.stj.jus.br/sites/STJ/default/pt_BR/Comunica%C3%A7%C3%A3o/noticias" TargetMode="External"/><Relationship Id="rId17" Type="http://schemas.openxmlformats.org/officeDocument/2006/relationships/hyperlink" Target="http://www.stj.jus.br/repetitivos/temas_repetitivo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j.jus.br/sites/STJ/default/pt_BR/Comunica%C3%A7%C3%A3o/noticias/Not%C3%ADcias/Institui%C3%A7%C3%B5es-debatem-capitaliza%C3%A7%C3%A3o-de-juros-em-financiamentos-do-SFH-com-base-na-Tabela-Pri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f.jus.br/" TargetMode="External"/><Relationship Id="rId11" Type="http://schemas.openxmlformats.org/officeDocument/2006/relationships/hyperlink" Target="http://www.stj.jus.br/sites/STJ/default/pt_BR/Comunica%C3%A7%C3%A3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stj.jus.br/repetitivos/temas_repetitivos/" TargetMode="External"/><Relationship Id="rId10" Type="http://schemas.openxmlformats.org/officeDocument/2006/relationships/hyperlink" Target="http://www.stj.jus.br/sites/STJ/default/pt_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fam.jus.br/" TargetMode="External"/><Relationship Id="rId14" Type="http://schemas.openxmlformats.org/officeDocument/2006/relationships/hyperlink" Target="http://www.stj.jus.br/SCON/sumanot/toc.jsp?livre=(sumula%20adj1%20%27539%27).sub.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</cp:revision>
  <dcterms:created xsi:type="dcterms:W3CDTF">2017-06-07T19:24:00Z</dcterms:created>
  <dcterms:modified xsi:type="dcterms:W3CDTF">2017-06-07T19:42:00Z</dcterms:modified>
</cp:coreProperties>
</file>