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D4" w:rsidRPr="00D42C5B" w:rsidRDefault="00A44CD4" w:rsidP="00A44CD4">
      <w:pPr>
        <w:shd w:val="clear" w:color="auto" w:fill="DFE7ED"/>
        <w:spacing w:after="0" w:line="552" w:lineRule="atLeast"/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9C9E9F"/>
          <w:sz w:val="21"/>
          <w:szCs w:val="21"/>
          <w:lang w:eastAsia="pt-BR"/>
        </w:rPr>
        <w:drawing>
          <wp:inline distT="0" distB="0" distL="0" distR="0">
            <wp:extent cx="847725" cy="84872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j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778" cy="8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 xml:space="preserve"> </w:t>
      </w:r>
      <w:r w:rsidRPr="00D42C5B"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República Federa</w:t>
      </w:r>
      <w:r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tiva do Brasil Poder Judiciário</w:t>
      </w:r>
      <w:r w:rsidRPr="00D42C5B"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 </w:t>
      </w:r>
      <w:hyperlink r:id="rId6" w:tgtFrame="_blank" w:tooltip="Portal do Supremo Tribunal Federal - STF" w:history="1">
        <w:r w:rsidRPr="00D42C5B">
          <w:rPr>
            <w:rFonts w:ascii="Verdana" w:eastAsia="Times New Roman" w:hAnsi="Verdana" w:cs="Times New Roman"/>
            <w:color w:val="9C9E9F"/>
            <w:sz w:val="21"/>
            <w:szCs w:val="21"/>
            <w:lang w:eastAsia="pt-BR"/>
          </w:rPr>
          <w:t>STF</w:t>
        </w:r>
      </w:hyperlink>
      <w:r w:rsidRPr="00D42C5B"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 | </w:t>
      </w:r>
      <w:hyperlink r:id="rId7" w:tgtFrame="_blank" w:tooltip="Portal do Conselho Nacional de Justiça - CNJ" w:history="1">
        <w:r w:rsidRPr="00D42C5B">
          <w:rPr>
            <w:rFonts w:ascii="Verdana" w:eastAsia="Times New Roman" w:hAnsi="Verdana" w:cs="Times New Roman"/>
            <w:color w:val="9C9E9F"/>
            <w:sz w:val="21"/>
            <w:szCs w:val="21"/>
            <w:lang w:eastAsia="pt-BR"/>
          </w:rPr>
          <w:t>CNJ</w:t>
        </w:r>
      </w:hyperlink>
      <w:r w:rsidRPr="00D42C5B"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 | </w:t>
      </w:r>
      <w:hyperlink r:id="rId8" w:tgtFrame="_blank" w:tooltip="Conselho da Justiça Federal - CJF" w:history="1">
        <w:r w:rsidRPr="00D42C5B">
          <w:rPr>
            <w:rFonts w:ascii="Verdana" w:eastAsia="Times New Roman" w:hAnsi="Verdana" w:cs="Times New Roman"/>
            <w:color w:val="9C9E9F"/>
            <w:sz w:val="21"/>
            <w:szCs w:val="21"/>
            <w:lang w:eastAsia="pt-BR"/>
          </w:rPr>
          <w:t>CJF</w:t>
        </w:r>
      </w:hyperlink>
      <w:r w:rsidRPr="00D42C5B"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 | </w:t>
      </w:r>
      <w:hyperlink r:id="rId9" w:tgtFrame="_blank" w:tooltip="Escola Nacional de Formação e Aperfeiçoamento de Magistrados - Enfam" w:history="1">
        <w:r w:rsidRPr="00D42C5B">
          <w:rPr>
            <w:rFonts w:ascii="Verdana" w:eastAsia="Times New Roman" w:hAnsi="Verdana" w:cs="Times New Roman"/>
            <w:color w:val="9C9E9F"/>
            <w:sz w:val="21"/>
            <w:szCs w:val="21"/>
            <w:lang w:eastAsia="pt-BR"/>
          </w:rPr>
          <w:t>ENFAM</w:t>
        </w:r>
      </w:hyperlink>
    </w:p>
    <w:p w:rsidR="00A44CD4" w:rsidRDefault="00A44CD4" w:rsidP="00A44CD4">
      <w:pPr>
        <w:spacing w:after="0" w:line="240" w:lineRule="auto"/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</w:pPr>
    </w:p>
    <w:p w:rsidR="00A44CD4" w:rsidRDefault="00A44CD4" w:rsidP="00A44CD4">
      <w:pPr>
        <w:spacing w:after="0" w:line="240" w:lineRule="auto"/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</w:pPr>
    </w:p>
    <w:p w:rsidR="00A44CD4" w:rsidRDefault="00A44CD4" w:rsidP="00A44CD4">
      <w:pPr>
        <w:spacing w:after="0" w:line="240" w:lineRule="auto"/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</w:pPr>
    </w:p>
    <w:p w:rsidR="006700C0" w:rsidRPr="006700C0" w:rsidRDefault="006700C0" w:rsidP="006700C0">
      <w:pPr>
        <w:spacing w:after="0" w:line="240" w:lineRule="auto"/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  <w:t>Você está em: </w:t>
      </w:r>
      <w:hyperlink r:id="rId10" w:history="1">
        <w:proofErr w:type="gramStart"/>
        <w:r w:rsidRPr="006700C0">
          <w:rPr>
            <w:rFonts w:ascii="Verdana" w:eastAsia="Times New Roman" w:hAnsi="Verdana" w:cs="Times New Roman"/>
            <w:color w:val="575756"/>
            <w:sz w:val="20"/>
            <w:szCs w:val="20"/>
            <w:u w:val="single"/>
            <w:lang w:eastAsia="pt-BR"/>
          </w:rPr>
          <w:t>Início</w:t>
        </w:r>
      </w:hyperlink>
      <w:r w:rsidRPr="006700C0"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  <w:t>  &gt;</w:t>
      </w:r>
      <w:proofErr w:type="gramEnd"/>
      <w:r w:rsidRPr="006700C0"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  <w:t>  </w:t>
      </w:r>
      <w:hyperlink r:id="rId11" w:history="1">
        <w:r w:rsidRPr="006700C0">
          <w:rPr>
            <w:rFonts w:ascii="Verdana" w:eastAsia="Times New Roman" w:hAnsi="Verdana" w:cs="Times New Roman"/>
            <w:color w:val="575756"/>
            <w:sz w:val="20"/>
            <w:szCs w:val="20"/>
            <w:u w:val="single"/>
            <w:lang w:eastAsia="pt-BR"/>
          </w:rPr>
          <w:t>Comunicação</w:t>
        </w:r>
      </w:hyperlink>
      <w:r w:rsidRPr="006700C0"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  <w:t>  &gt;  </w:t>
      </w:r>
      <w:hyperlink r:id="rId12" w:history="1">
        <w:r w:rsidRPr="006700C0">
          <w:rPr>
            <w:rFonts w:ascii="Verdana" w:eastAsia="Times New Roman" w:hAnsi="Verdana" w:cs="Times New Roman"/>
            <w:color w:val="575756"/>
            <w:sz w:val="20"/>
            <w:szCs w:val="20"/>
            <w:u w:val="single"/>
            <w:lang w:eastAsia="pt-BR"/>
          </w:rPr>
          <w:t>Notícias</w:t>
        </w:r>
      </w:hyperlink>
      <w:r w:rsidRPr="006700C0"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  <w:t>  &gt;  </w:t>
      </w:r>
      <w:hyperlink r:id="rId13" w:history="1">
        <w:r w:rsidRPr="006700C0">
          <w:rPr>
            <w:rFonts w:ascii="Verdana" w:eastAsia="Times New Roman" w:hAnsi="Verdana" w:cs="Times New Roman"/>
            <w:color w:val="575756"/>
            <w:sz w:val="20"/>
            <w:szCs w:val="20"/>
            <w:u w:val="single"/>
            <w:lang w:eastAsia="pt-BR"/>
          </w:rPr>
          <w:t>Notícias</w:t>
        </w:r>
      </w:hyperlink>
    </w:p>
    <w:p w:rsidR="006700C0" w:rsidRPr="006700C0" w:rsidRDefault="006700C0" w:rsidP="006700C0">
      <w:pPr>
        <w:spacing w:after="0" w:line="240" w:lineRule="atLeast"/>
        <w:rPr>
          <w:rFonts w:ascii="Verdana" w:eastAsia="Times New Roman" w:hAnsi="Verdana" w:cs="Times New Roman"/>
          <w:b/>
          <w:bCs/>
          <w:color w:val="575756"/>
          <w:sz w:val="39"/>
          <w:szCs w:val="39"/>
          <w:lang w:eastAsia="pt-BR"/>
        </w:rPr>
      </w:pPr>
      <w:r w:rsidRPr="006700C0">
        <w:rPr>
          <w:rFonts w:ascii="Verdana" w:eastAsia="Times New Roman" w:hAnsi="Verdana" w:cs="Times New Roman"/>
          <w:b/>
          <w:bCs/>
          <w:color w:val="575756"/>
          <w:sz w:val="39"/>
          <w:szCs w:val="39"/>
          <w:lang w:eastAsia="pt-BR"/>
        </w:rPr>
        <w:t>Notícias</w:t>
      </w:r>
    </w:p>
    <w:p w:rsidR="006700C0" w:rsidRPr="006700C0" w:rsidRDefault="006700C0" w:rsidP="006700C0">
      <w:pPr>
        <w:spacing w:after="0" w:line="240" w:lineRule="auto"/>
        <w:rPr>
          <w:rFonts w:ascii="Verdana" w:eastAsia="Times New Roman" w:hAnsi="Verdana" w:cs="Times New Roman"/>
          <w:b/>
          <w:bCs/>
          <w:color w:val="595656"/>
          <w:sz w:val="17"/>
          <w:szCs w:val="17"/>
          <w:lang w:eastAsia="pt-BR"/>
        </w:rPr>
      </w:pPr>
      <w:r w:rsidRPr="006700C0">
        <w:rPr>
          <w:rFonts w:ascii="Verdana" w:eastAsia="Times New Roman" w:hAnsi="Verdana" w:cs="Times New Roman"/>
          <w:b/>
          <w:bCs/>
          <w:color w:val="595656"/>
          <w:sz w:val="17"/>
          <w:szCs w:val="17"/>
          <w:lang w:eastAsia="pt-BR"/>
        </w:rPr>
        <w:t>INSTITUCIONAL</w:t>
      </w:r>
    </w:p>
    <w:p w:rsidR="006700C0" w:rsidRPr="006700C0" w:rsidRDefault="006700C0" w:rsidP="006700C0">
      <w:pPr>
        <w:spacing w:after="0" w:line="390" w:lineRule="atLeast"/>
        <w:rPr>
          <w:rFonts w:ascii="Verdana" w:eastAsia="Times New Roman" w:hAnsi="Verdana" w:cs="Times New Roman"/>
          <w:color w:val="595656"/>
          <w:sz w:val="17"/>
          <w:szCs w:val="17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17"/>
          <w:szCs w:val="17"/>
          <w:lang w:eastAsia="pt-BR"/>
        </w:rPr>
        <w:t>26/04/2017 21:25</w:t>
      </w:r>
    </w:p>
    <w:p w:rsidR="006700C0" w:rsidRPr="006700C0" w:rsidRDefault="006700C0" w:rsidP="006700C0">
      <w:pPr>
        <w:spacing w:before="300" w:after="0" w:line="390" w:lineRule="atLeast"/>
        <w:outlineLvl w:val="0"/>
        <w:rPr>
          <w:rFonts w:ascii="Verdana" w:eastAsia="Times New Roman" w:hAnsi="Verdana" w:cs="Times New Roman"/>
          <w:b/>
          <w:bCs/>
          <w:color w:val="9D362E"/>
          <w:kern w:val="36"/>
          <w:sz w:val="33"/>
          <w:szCs w:val="33"/>
          <w:lang w:eastAsia="pt-BR"/>
        </w:rPr>
      </w:pPr>
      <w:r w:rsidRPr="006700C0">
        <w:rPr>
          <w:rFonts w:ascii="Verdana" w:eastAsia="Times New Roman" w:hAnsi="Verdana" w:cs="Times New Roman"/>
          <w:b/>
          <w:bCs/>
          <w:color w:val="9D362E"/>
          <w:kern w:val="36"/>
          <w:sz w:val="33"/>
          <w:szCs w:val="33"/>
          <w:lang w:eastAsia="pt-BR"/>
        </w:rPr>
        <w:t>Lançada publicação que comemora um ano de decisão histórica sobre publicidade de alimentos dirigida às crianças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Foi lançada nesta quarta-feira (26), no Espaço Cultural do Superior Tribunal de Justiça, a publicação </w:t>
      </w:r>
      <w:r w:rsidRPr="006700C0">
        <w:rPr>
          <w:rFonts w:ascii="Verdana" w:eastAsia="Times New Roman" w:hAnsi="Verdana" w:cs="Times New Roman"/>
          <w:i/>
          <w:iCs/>
          <w:color w:val="595656"/>
          <w:sz w:val="20"/>
          <w:szCs w:val="20"/>
          <w:lang w:eastAsia="pt-BR"/>
        </w:rPr>
        <w:t>Direitos sem ruído: a histórica decisão do STJ sobre publicidade de alimentos dirigida à criança</w:t>
      </w: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, do Instituto Brasileiro de Defesa do Consumidor (Idec).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A publicação trata do processo sobre a campanha publicitária promovida pela empresa </w:t>
      </w:r>
      <w:proofErr w:type="spellStart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Pandurata</w:t>
      </w:r>
      <w:proofErr w:type="spellEnd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, detentora da marca Bauducco. O caso foi analisado pela Segunda Turma do STJ, que, em votação unânime, em 10 de março de 2016, </w:t>
      </w:r>
      <w:hyperlink r:id="rId14" w:tgtFrame="_blank" w:history="1">
        <w:r w:rsidRPr="006700C0">
          <w:rPr>
            <w:rFonts w:ascii="Verdana" w:eastAsia="Times New Roman" w:hAnsi="Verdana" w:cs="Times New Roman"/>
            <w:b/>
            <w:bCs/>
            <w:color w:val="2465A4"/>
            <w:sz w:val="20"/>
            <w:szCs w:val="20"/>
            <w:u w:val="single"/>
            <w:lang w:eastAsia="pt-BR"/>
          </w:rPr>
          <w:t>considerou ilegal</w:t>
        </w:r>
      </w:hyperlink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 a campanha “É hora do Shrek”, divulgada em 2007.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Além do lançamento da publicação, o Idec promoveu um debate sobre a publicidade infantil, com o apoio da </w:t>
      </w:r>
      <w:proofErr w:type="spellStart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Bloomberg</w:t>
      </w:r>
      <w:proofErr w:type="spellEnd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 </w:t>
      </w:r>
      <w:proofErr w:type="spellStart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Philanthropies</w:t>
      </w:r>
      <w:proofErr w:type="spellEnd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, para celebrar um ano da publicação do acórdão. O evento contou com a participação dos ministros Humberto Martins, Herman Benjamin, Mauro Campbell Marques e </w:t>
      </w:r>
      <w:proofErr w:type="spellStart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Assusete</w:t>
      </w:r>
      <w:proofErr w:type="spellEnd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 Magalhães, que à época do julgamento integravam a Segunda Turma.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Também estiveram presentes o subprocurador-geral da República Aurélio Rios e a chefe de cozinha e apresentadora do programa de TV “Bela Cozinha”, Bela Gil.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O relator do processo, ministro Humberto Martins, hoje vice-presidente do STJ, destacou que a decisão foi um precedente importante sobre a publicidade de alimentos ao caracterizar como venda casada a oferta de brindes mediante a compra de pacotes de biscoitos. “A prática representou violação do Código de Defesa do Consumidor”, destacou. O ministro lembrou ainda que é papel do STJ “fazer da vida do consumidor uma vida melhor, mais digna e de mais respeito”.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A publicidade incentivava as crianças a colecionar embalagens de qualquer produto da linha e a pagar uma quantia para receber um relógio exclusivo. A decisão levou em consideração o aumento da obesidade infantil no Brasil e no mundo e a necessidade de que os pais decidam sobre o consumo dos alimentos pelas crianças.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b/>
          <w:bCs/>
          <w:color w:val="595656"/>
          <w:sz w:val="20"/>
          <w:szCs w:val="20"/>
          <w:lang w:eastAsia="pt-BR"/>
        </w:rPr>
        <w:t>Abuso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Com esse processo, o STJ criou o primeiro precedente que considerou abusiva a publicidade de alimentos dirigida direta ou indiretamente ao público infantil. A decisão representa uma </w:t>
      </w: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lastRenderedPageBreak/>
        <w:t>importante etapa do desafio enfrentado pela sociedade brasileira nesse campo ao reconhecer a vulnerabilidade das crianças, além de protegê-las de práticas publicitárias abusivas que conduzem à cultura do consumo.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A coordenadora executiva do Idec, </w:t>
      </w:r>
      <w:proofErr w:type="spellStart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Elici</w:t>
      </w:r>
      <w:proofErr w:type="spellEnd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 Bueno, lembrou que uma criança obesa tem maior risco de se tornar um adulto com obesidade, com sérias implicações para a saúde. A coordenadora ressaltou que a publicação está sendo traduzida para outras línguas, o que possibilitará a disseminação do julgamento do STJ em várias partes do mundo.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De acordo com a apresentadora Bela Gil, há atualmente uma difícil competição entre produtos naturais e itens industrializados, estes últimos apoiados por uma publicidade massiva. Segundo a apresentadora, a decisão do STJ contribui para que empresas de alimentos “percebam o que estão fazendo com as nossas crianças”.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A publicação do Idec oferece ainda informações sobre como seguir uma dieta balanceada e saborosa. O texto também está disponível em inglês e espanhol e conta com uma versão digital, a qual pode ser acessada no site do </w:t>
      </w:r>
      <w:hyperlink r:id="rId15" w:tgtFrame="_blank" w:history="1">
        <w:r w:rsidRPr="006700C0">
          <w:rPr>
            <w:rFonts w:ascii="Verdana" w:eastAsia="Times New Roman" w:hAnsi="Verdana" w:cs="Times New Roman"/>
            <w:b/>
            <w:bCs/>
            <w:color w:val="2465A4"/>
            <w:sz w:val="20"/>
            <w:szCs w:val="20"/>
            <w:lang w:eastAsia="pt-BR"/>
          </w:rPr>
          <w:t>Idec</w:t>
        </w:r>
      </w:hyperlink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b/>
          <w:bCs/>
          <w:color w:val="595656"/>
          <w:sz w:val="20"/>
          <w:szCs w:val="20"/>
          <w:lang w:eastAsia="pt-BR"/>
        </w:rPr>
        <w:t>Posição alinhada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A decisão da Segunda Turma está alinhada com a Declaração dos Direitos da Criança da Organização das Nações Unidas (ONU) e recebe ainda mais destaque diante do aumento do consumo de alimentos </w:t>
      </w:r>
      <w:proofErr w:type="spellStart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ultraprocessados</w:t>
      </w:r>
      <w:proofErr w:type="spellEnd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, reconhecidamente relacionados ao aumento da obesidade infantil.  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A posição adotada pelos ministros naquele julgamento também segue as orientações da segunda edição do “Guia Alimentar para a População Brasileira”, elaborado pelo Ministério da Saúde em parceria com o Núcleo de Pesquisas Epidemiológicas em Nutrição e Saúde da Universidade de São Paulo (</w:t>
      </w:r>
      <w:proofErr w:type="spellStart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Nupens</w:t>
      </w:r>
      <w:proofErr w:type="spellEnd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/USP) e com o apoio da Organização </w:t>
      </w:r>
      <w:proofErr w:type="spellStart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Panamericana</w:t>
      </w:r>
      <w:proofErr w:type="spellEnd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 de Saúde (Opas).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Em 2014, a Opas publicou o plano de prevenção da obesidade infantil e recomendou a redução da exposição das crianças à publicidade de alimentos não saudáveis. Segundo a entidade, esse tipo de conteúdo estimula o consumo de alimentos </w:t>
      </w:r>
      <w:proofErr w:type="spellStart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ultraprocessados</w:t>
      </w:r>
      <w:proofErr w:type="spellEnd"/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.</w:t>
      </w:r>
    </w:p>
    <w:p w:rsidR="006700C0" w:rsidRPr="006700C0" w:rsidRDefault="006700C0" w:rsidP="006700C0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De acordo com a Organização Mundial da Saúde (OMS), o excesso de peso e a obesidade são considerados fatores de risco para a hipertensão, o diabetes e o câncer. O número de crianças e adolescentes nessas condições passou de 32 milhões em 1990 para 42 milhões em 2013.</w:t>
      </w:r>
    </w:p>
    <w:p w:rsidR="006700C0" w:rsidRPr="006700C0" w:rsidRDefault="006700C0" w:rsidP="006700C0">
      <w:pPr>
        <w:spacing w:after="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6700C0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O Instituto Brasileiro de Geografia e Estatística (IBGE) informa que mais de 30% das crianças com idade entre 5 e 9 anos apresentam excesso de peso. Nesse grupo, 15% dos meninos e 10% das meninas são considerados obesos.</w:t>
      </w:r>
    </w:p>
    <w:p w:rsidR="006700C0" w:rsidRDefault="006700C0" w:rsidP="006700C0">
      <w:pPr>
        <w:spacing w:after="0" w:line="240" w:lineRule="auto"/>
        <w:rPr>
          <w:rFonts w:ascii="Verdana" w:eastAsia="Times New Roman" w:hAnsi="Verdana" w:cs="Times New Roman"/>
          <w:b/>
          <w:bCs/>
          <w:color w:val="575756"/>
          <w:sz w:val="18"/>
          <w:szCs w:val="18"/>
          <w:lang w:eastAsia="pt-BR"/>
        </w:rPr>
      </w:pPr>
    </w:p>
    <w:p w:rsidR="00A44CD4" w:rsidRDefault="00A44CD4" w:rsidP="006700C0">
      <w:r w:rsidRPr="00A44CD4">
        <w:rPr>
          <w:b/>
        </w:rPr>
        <w:t>Fonte:</w:t>
      </w:r>
      <w:bookmarkStart w:id="0" w:name="_GoBack"/>
      <w:bookmarkEnd w:id="0"/>
      <w:r w:rsidR="006700C0" w:rsidRPr="006700C0">
        <w:t>http://www.stj.jus.br/sites/STJ/default/pt_BR/Comunica%C3%A7%C3%A3o/noticias/Not%C3%ADcias/Lan%C3%A7ada-publica%C3%A7%C3%A3o-que-comemora-um-ano-de-decis%C3%A3o-hist%C3%B3rica-sobre-publicidade-de-alimentos-dirigida-%C3%A0s-crian%C3%A7as</w:t>
      </w:r>
    </w:p>
    <w:sectPr w:rsidR="00A44CD4" w:rsidSect="00A44CD4">
      <w:pgSz w:w="11906" w:h="16838"/>
      <w:pgMar w:top="851" w:right="85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9543F"/>
    <w:multiLevelType w:val="multilevel"/>
    <w:tmpl w:val="99A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9036D"/>
    <w:multiLevelType w:val="multilevel"/>
    <w:tmpl w:val="503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D4"/>
    <w:rsid w:val="00621070"/>
    <w:rsid w:val="006700C0"/>
    <w:rsid w:val="00780916"/>
    <w:rsid w:val="00A44CD4"/>
    <w:rsid w:val="00E8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38E8D-C22C-43E3-9F08-A29E312B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9002">
                          <w:marLeft w:val="75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3" w:color="C22F18"/>
                                <w:right w:val="none" w:sz="0" w:space="0" w:color="auto"/>
                              </w:divBdr>
                            </w:div>
                            <w:div w:id="98180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628">
                                      <w:marLeft w:val="750"/>
                                      <w:marRight w:val="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3245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9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163073">
                                      <w:marLeft w:val="750"/>
                                      <w:marRight w:val="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80695">
                                          <w:marLeft w:val="291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75025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1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7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49208">
                          <w:marLeft w:val="75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3" w:color="C22F18"/>
                                <w:right w:val="none" w:sz="0" w:space="0" w:color="auto"/>
                              </w:divBdr>
                            </w:div>
                            <w:div w:id="15580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46494">
                                      <w:marLeft w:val="750"/>
                                      <w:marRight w:val="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7070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29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36996">
                                      <w:marLeft w:val="750"/>
                                      <w:marRight w:val="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10880">
                                          <w:marLeft w:val="291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84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9490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65682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6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1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jf.jus.br/cjf/" TargetMode="External"/><Relationship Id="rId13" Type="http://schemas.openxmlformats.org/officeDocument/2006/relationships/hyperlink" Target="http://www.stj.jus.br/sites/STJ/default/pt_BR/Comunica%C3%A7%C3%A3o/noticias/Not%C3%ADci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j.jus.br/" TargetMode="External"/><Relationship Id="rId12" Type="http://schemas.openxmlformats.org/officeDocument/2006/relationships/hyperlink" Target="http://www.stj.jus.br/sites/STJ/default/pt_BR/Comunica%C3%A7%C3%A3o/notici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tf.jus.br/" TargetMode="External"/><Relationship Id="rId11" Type="http://schemas.openxmlformats.org/officeDocument/2006/relationships/hyperlink" Target="http://www.stj.jus.br/sites/STJ/default/pt_BR/Comunica%C3%A7%C3%A3o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idec.org.br/" TargetMode="External"/><Relationship Id="rId10" Type="http://schemas.openxmlformats.org/officeDocument/2006/relationships/hyperlink" Target="http://www.stj.jus.br/sites/STJ/default/pt_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fam.jus.br/" TargetMode="External"/><Relationship Id="rId14" Type="http://schemas.openxmlformats.org/officeDocument/2006/relationships/hyperlink" Target="https://ww2.stj.jus.br/processo/revista/documento/mediado/?componente=ITA&amp;sequencial=1495560&amp;num_registro=201500615780&amp;data=20160415&amp;formato=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943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2017-06-07T23:10:00Z</dcterms:created>
  <dcterms:modified xsi:type="dcterms:W3CDTF">2017-06-07T23:10:00Z</dcterms:modified>
</cp:coreProperties>
</file>