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A15CB" w:rsidRDefault="00AA15CB" w:rsidP="00AA15CB">
      <w:pPr>
        <w:numPr>
          <w:ilvl w:val="0"/>
          <w:numId w:val="1"/>
        </w:numPr>
      </w:pPr>
      <w:bookmarkStart w:id="0" w:name="_GoBack"/>
      <w:bookmarkEnd w:id="0"/>
      <w:r w:rsidRPr="00AA15CB">
        <w:t>INQUÉRITO JUDICIAL PARA APURAÇÃO DE FALTA GRAVE</w:t>
      </w:r>
    </w:p>
    <w:p w:rsidR="00000000" w:rsidRPr="00AA15CB" w:rsidRDefault="00AA15CB" w:rsidP="00AA15CB">
      <w:pPr>
        <w:numPr>
          <w:ilvl w:val="0"/>
          <w:numId w:val="1"/>
        </w:numPr>
      </w:pPr>
      <w:proofErr w:type="spellStart"/>
      <w:r w:rsidRPr="00AA15CB">
        <w:t>PROFª</w:t>
      </w:r>
      <w:proofErr w:type="spellEnd"/>
      <w:r w:rsidRPr="00AA15CB">
        <w:t>: SANDRA CRISTINA MARTINS NOGUEIRA GUILHERME DE PAULA</w:t>
      </w:r>
    </w:p>
    <w:p w:rsidR="00000000" w:rsidRPr="00AA15CB" w:rsidRDefault="00AA15CB" w:rsidP="00AA15CB">
      <w:pPr>
        <w:numPr>
          <w:ilvl w:val="0"/>
          <w:numId w:val="1"/>
        </w:numPr>
      </w:pPr>
      <w:r w:rsidRPr="00AA15CB">
        <w:t xml:space="preserve">Contato: </w:t>
      </w:r>
      <w:r w:rsidRPr="00AA15CB">
        <w:rPr>
          <w:b/>
          <w:bCs/>
        </w:rPr>
        <w:t>drasandradepaulaadv@hotmail.com</w:t>
      </w:r>
    </w:p>
    <w:p w:rsidR="00AA15CB" w:rsidRPr="00AA15CB" w:rsidRDefault="00AA15CB" w:rsidP="00AA15CB">
      <w:r w:rsidRPr="00AA15CB">
        <w:rPr>
          <w:b/>
          <w:bCs/>
        </w:rPr>
        <w:t>INQUÉRITO JUDICIAL PARA APURAÇÃO DE FALTA GRAVE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O termo inquérito deve-se ao fato de que a Justiça do Trabalho, quando criada em 1939, era um órgão de feição administrativa vinculado ao Poder Executivo, o que justifica o uso de tal expressão.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FUNDAMENTOS E OBJETIVO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Previsão legal: art. 853-855 da CLT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Trata-se de uma ação constitutiva destinada a apurar falta grave cometida por empregado estável, a fim de permitir que a resolução do contrato de trabalho por justa causa e por iniciativa d</w:t>
      </w:r>
      <w:r w:rsidRPr="00AA15CB">
        <w:t>o empregador.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br/>
        <w:t>DESTINATÁRIOS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a) o servidor público celetista com estabilidade adquirida nos termos do art. 19 do ADCT;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b) os dirigentes sindicais portadores de estabilidade provisória (sendo estes os destinatários mais comuns de tais ações)</w:t>
      </w:r>
      <w:proofErr w:type="gramStart"/>
      <w:r w:rsidRPr="00AA15CB">
        <w:t>; :</w:t>
      </w:r>
      <w:proofErr w:type="gramEnd"/>
      <w:r w:rsidRPr="00AA15CB">
        <w:t xml:space="preserve"> art. 8º, VIII da CF S. 379 do TST e S. 197 do STF;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rPr>
          <w:b/>
          <w:bCs/>
        </w:rPr>
        <w:t>Súmula nº 379 do TST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rPr>
          <w:b/>
          <w:bCs/>
        </w:rPr>
        <w:t>DIRIGENTE SINDICAL. DESPEDIDA. FALTA GRAVE. INQUÉRITO JUDICIAL. NECESSIDADE (conversão da Orientação Jurisprudencial</w:t>
      </w:r>
      <w:r w:rsidRPr="00AA15CB">
        <w:rPr>
          <w:b/>
          <w:bCs/>
        </w:rPr>
        <w:t xml:space="preserve"> nº 114 da SBDI-1) - Res. 129/2005, DJ 20, 22 e 25.04.2005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O dirigente sindical somente poderá ser dispensado por falta grave mediante a apuração em inquérito judicial, inteligência dos </w:t>
      </w:r>
      <w:proofErr w:type="spellStart"/>
      <w:r w:rsidRPr="00AA15CB">
        <w:t>a</w:t>
      </w:r>
      <w:r w:rsidRPr="00AA15CB">
        <w:t>rts</w:t>
      </w:r>
      <w:proofErr w:type="spellEnd"/>
      <w:r w:rsidRPr="00AA15CB">
        <w:t>. 494 e 543, §3º, da CLT. (</w:t>
      </w:r>
      <w:proofErr w:type="spellStart"/>
      <w:proofErr w:type="gramStart"/>
      <w:r w:rsidRPr="00AA15CB">
        <w:t>ex</w:t>
      </w:r>
      <w:proofErr w:type="gramEnd"/>
      <w:r w:rsidRPr="00AA15CB">
        <w:t>-OJ</w:t>
      </w:r>
      <w:proofErr w:type="spellEnd"/>
      <w:r w:rsidRPr="00AA15CB">
        <w:t xml:space="preserve"> nº 114 da SBDI-1 - inserida em 20.11.1997)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c) os representantes dos trabalhadores no Conselho Curador do FGTS e no Conselho Nacional da Previdência Social</w:t>
      </w:r>
      <w:r w:rsidRPr="00AA15CB">
        <w:t xml:space="preserve">; Lei 8.036/90, art. 3º, </w:t>
      </w:r>
      <w:proofErr w:type="gramStart"/>
      <w:r w:rsidRPr="00AA15CB">
        <w:t>§  7</w:t>
      </w:r>
      <w:proofErr w:type="gramEnd"/>
      <w:r w:rsidRPr="00AA15CB">
        <w:t>º e 9º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d) o dirigente de Cooperativa de Empregados (que seja portador de estabilidade em razão disso); Lei 5.764/71, art. 55;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e) o representante dos empregados nas Comissões de Conciliação Prévia de empresa, que tenha sido eleito para ocupar essa função; art. 625-B, § 1º.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f) o servido</w:t>
      </w:r>
      <w:r w:rsidRPr="00AA15CB">
        <w:t>r público celetista, depois de decorrido o período de estágio probatório, sendo que a Constituição autoriza, nesse último caso, que o Inquérito seja substituído por processo administrativo onde seja assegurado ao servidor o exercício da ampla defesa.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lastRenderedPageBreak/>
        <w:t>Segundo o entendimento do C. TST, Súmula 390, I tal empregado tem estabilidade e sua dispensa somente será válida mediante ajuizamento de ação de inquérito judicial para apuração de falta grave (</w:t>
      </w:r>
      <w:r w:rsidRPr="00AA15CB">
        <w:t xml:space="preserve">art. 853 c/c </w:t>
      </w:r>
      <w:proofErr w:type="spellStart"/>
      <w:r w:rsidRPr="00AA15CB">
        <w:t>arts</w:t>
      </w:r>
      <w:proofErr w:type="spellEnd"/>
      <w:r w:rsidRPr="00AA15CB">
        <w:t>. 494 a 499 da CLT).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Para o acidentado, a gestante ou </w:t>
      </w:r>
      <w:proofErr w:type="spellStart"/>
      <w:r w:rsidRPr="00AA15CB">
        <w:t>cipeiro</w:t>
      </w:r>
      <w:proofErr w:type="spellEnd"/>
      <w:r w:rsidRPr="00AA15CB">
        <w:t>, não há necessidade de ajuizamento de inquérito para apuração de falta grave. Em tais casos o processo deve ser</w:t>
      </w:r>
      <w:r w:rsidRPr="00AA15CB">
        <w:t xml:space="preserve"> extinto sem resolução do mérito.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NULIDADE DA DISPENSA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A </w:t>
      </w:r>
      <w:r w:rsidRPr="00AA15CB">
        <w:t>dispensa de tais empregados estáveis, ainda que por justa causa, é nula, se não for precedida do inquérito, para que haja a autorização judicial para rescisão.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ESPECIFICIDADES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A reclamação deve ser apresentada na forma escrita;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Deve ser observado o prazo decadencial de 30 dias para propositura da ação, contado e</w:t>
      </w:r>
      <w:r w:rsidRPr="00AA15CB">
        <w:t>sse prazo da suspensão do empregado;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A Súmula nº 403 do STF declara que </w:t>
      </w:r>
      <w:r w:rsidRPr="00AA15CB">
        <w:rPr>
          <w:i/>
          <w:iCs/>
        </w:rPr>
        <w:t>“é de decadência o prazo de 30 dias para a instauraçã</w:t>
      </w:r>
      <w:r w:rsidRPr="00AA15CB">
        <w:rPr>
          <w:i/>
          <w:iCs/>
        </w:rPr>
        <w:t>o do inquérito a contar da suspensão, por falta grave, de empregado estável</w:t>
      </w:r>
      <w:r w:rsidRPr="00AA15CB">
        <w:t xml:space="preserve">”.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A Súmula 62 do TST adota a mesma posição: </w:t>
      </w:r>
      <w:r w:rsidRPr="00AA15CB">
        <w:rPr>
          <w:i/>
          <w:iCs/>
        </w:rPr>
        <w:t>“O prazo da decadência do direito do empregador de ajuizar inquérito contra o empr</w:t>
      </w:r>
      <w:r w:rsidRPr="00AA15CB">
        <w:rPr>
          <w:i/>
          <w:iCs/>
        </w:rPr>
        <w:t xml:space="preserve">egado que incorre em abandono de emprego é contado a partir do momento em que o empregado pretendeu seu retorno ao serviço”.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br/>
        <w:t>E SE NÃO HOUVER SUSPENSÃO?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Para alguns doutrinadores o prazo seria de 2anos a contar do momento em que o empregador tomou ciência da falta grave imputada ao empregado;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Para outros o pr</w:t>
      </w:r>
      <w:r w:rsidRPr="00AA15CB">
        <w:t>azo seria de 5 anos a contar do mesmo momento.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Em quaisquer das situações – 2 ou 5 anos – o empregador que opta por não suspender o empregado corre o risco do entendimento da aplicação do pe</w:t>
      </w:r>
      <w:r w:rsidRPr="00AA15CB">
        <w:t xml:space="preserve">rdão tácito, ante a não </w:t>
      </w:r>
      <w:proofErr w:type="spellStart"/>
      <w:r w:rsidRPr="00AA15CB">
        <w:t>imediatidade</w:t>
      </w:r>
      <w:proofErr w:type="spellEnd"/>
      <w:r w:rsidRPr="00AA15CB">
        <w:t>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O autor da ação é chamado de requerente e o réu de requerido.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O rito admite que sejam</w:t>
      </w:r>
      <w:r w:rsidRPr="00AA15CB">
        <w:t xml:space="preserve"> ouvidas até seis testemunhas para cada parte;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AUDIÊNCIA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Não comparecendo a empresa, o inquérito é arquivado (art. 844 da C</w:t>
      </w:r>
      <w:r w:rsidRPr="00AA15CB">
        <w:t>LT). Este artigo não fala em empregado, mas em reclamante. A empresa nesse caso é reclamante.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Ausentando-se o empregado à audiência, será considerado revel e confesso quanto à matéria de fat</w:t>
      </w:r>
      <w:r w:rsidRPr="00AA15CB">
        <w:t>o. Presente o empregado, é feita a primeira tentativa de conciliação.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CUSTAS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lastRenderedPageBreak/>
        <w:t>Hoje o sistema de recolhimento de custas segue</w:t>
      </w:r>
      <w:r w:rsidRPr="00AA15CB">
        <w:t xml:space="preserve"> a ordem disposta no § 1º do art. 789 da CLT, ou seja, devem ser pagas pelo vencido após o trânsito em julgado, e, no caso de recurso, o recolhimento deve se dar dentro do prazo recursal.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EF</w:t>
      </w:r>
      <w:r w:rsidRPr="00AA15CB">
        <w:t>EITOS DA SENTENÇA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rPr>
          <w:b/>
          <w:bCs/>
        </w:rPr>
        <w:t xml:space="preserve">Acolhimento da pretensão: </w:t>
      </w:r>
      <w:r w:rsidRPr="00AA15CB">
        <w:t>Acolhida a pretensão da empresa, de rescindir o contrato de trabalho do empre</w:t>
      </w:r>
      <w:r w:rsidRPr="00AA15CB">
        <w:t xml:space="preserve">gado estável, temos uma decisão constitutiva, que extingue o contrato de trabalho a partir da data da propositura do inquérito.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rPr>
          <w:b/>
          <w:bCs/>
        </w:rPr>
        <w:t>Amauri Mascaro Nascimento entende que cessa o contrato de tra</w:t>
      </w:r>
      <w:r w:rsidRPr="00AA15CB">
        <w:rPr>
          <w:b/>
          <w:bCs/>
        </w:rPr>
        <w:t xml:space="preserve">balho a partir da suspensão.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rPr>
          <w:b/>
          <w:bCs/>
        </w:rPr>
        <w:t>Sergio Pinto Martins entende que o contrato de trabalho cessará a partir da data da propositura da ação, que é quando se inicia o litígio.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rPr>
          <w:b/>
          <w:bCs/>
        </w:rPr>
        <w:t>Rejeição da pretensão</w:t>
      </w:r>
      <w:r w:rsidRPr="00AA15CB">
        <w:t>: Não aprovada a falta grave, o empregado estável terá o prosseguimento normal de seu contrato de trabalho, na hipót</w:t>
      </w:r>
      <w:r w:rsidRPr="00AA15CB">
        <w:t>ese de não ter sido suspenso.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Existindo a suspensão, o empregado deverá ser reintegrado no serviço, sendo devidos os salários do período de suspensão (art. 495 da CLT) e demais vantagens obt</w:t>
      </w:r>
      <w:r w:rsidRPr="00AA15CB">
        <w:t xml:space="preserve">idas pela categoria profissional, com o cômputo do tempo de serviço.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Não se tratada readmissão, pois do contrário não deveria haver pagamento de salários.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A reintegração poderá ser feita, inclusive, por oficial de justiça, negando-se o empregador a fazê-lo.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CONVERSÃO DA REINTEG</w:t>
      </w:r>
      <w:r w:rsidRPr="00AA15CB">
        <w:t>RAÇÃO EM INDENIZAÇÃO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A conversão de reintegração em pagamento de indenização é uma faculdade do juiz e não das partes (art. </w:t>
      </w:r>
      <w:r w:rsidRPr="00AA15CB">
        <w:t>496 da CLT), quando o magistrado perceber a incompatibilidade da reintegração, principalmente, quando o empregador for pessoa física.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O empregado que não era optante do FGTS terá direito a i</w:t>
      </w:r>
      <w:r w:rsidRPr="00AA15CB">
        <w:t>ndenização em dobro (art. 497 da CLT). Havendo força maior, a indenização será simples (art. 502, I, da CLT), sendo pagos normalmente o 13º salário e as férias do período (art. 131, V, da CLT).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Caso o juiz tenha convertido o pedido de reintegração em indenização, esta será executada normalmente no processo, sem a necessidade da propositura de nova ação para a cobrança da indenização.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A sentença que determina o pagamento da indenização é uma decisão constitutiva-condenatória, sendo os valores devidos até a data da primeira decisão que determinou a conversão, segundo a S.</w:t>
      </w:r>
      <w:r w:rsidRPr="00AA15CB">
        <w:t xml:space="preserve"> 28 do TST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 xml:space="preserve">Na verdade, o correto seria falar que as importâncias devidas ao empregado deveriam ser pagas até a data em que o contrato é rescindido. 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Não se pode dizer que os salários são indevidos caso o empregado trabalhe para outro empregador no decorrer do trâmite do inquérito, na hipótese de ter sido suspenso, justamente porque o empregado não pode ficar privado de sua font</w:t>
      </w:r>
      <w:r w:rsidRPr="00AA15CB">
        <w:t xml:space="preserve">e de subsistência, </w:t>
      </w:r>
      <w:r w:rsidRPr="00AA15CB">
        <w:lastRenderedPageBreak/>
        <w:t>ou seja, de trabalhar par outro empregador par se manter e a sua família. Não há, inclusive, previsão em lei quanto ao não pagamento do salário.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A ação tem natureza dúplic</w:t>
      </w:r>
      <w:r w:rsidRPr="00AA15CB">
        <w:t>e, admitindo, portanto, a apresentação de pedidos contrapostos pelo réu em sua defesa.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CONVERSÃO DA REINTEGRAÇÃO EM INDENIZAÇÃO</w:t>
      </w:r>
    </w:p>
    <w:p w:rsidR="00000000" w:rsidRPr="00AA15CB" w:rsidRDefault="00AA15CB" w:rsidP="00AA15CB">
      <w:pPr>
        <w:numPr>
          <w:ilvl w:val="0"/>
          <w:numId w:val="2"/>
        </w:numPr>
      </w:pPr>
      <w:r w:rsidRPr="00AA15CB">
        <w:t>Quando a reintegração for desaconselhável, ante o grau de incompatibilidade o juiz pode converter a obrigação de fazer em obrigação de indenizar.</w:t>
      </w:r>
    </w:p>
    <w:p w:rsidR="00CC0C71" w:rsidRDefault="00CC0C71"/>
    <w:sectPr w:rsidR="00CC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175A7"/>
    <w:multiLevelType w:val="hybridMultilevel"/>
    <w:tmpl w:val="959265D4"/>
    <w:lvl w:ilvl="0" w:tplc="0FF45F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4428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072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D290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5EB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EC61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9E91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BED1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1E1F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D7736D4"/>
    <w:multiLevelType w:val="hybridMultilevel"/>
    <w:tmpl w:val="282ED412"/>
    <w:lvl w:ilvl="0" w:tplc="53AE9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74DC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A43D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1E46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1C14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3645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C89E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CA58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FE76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CB"/>
    <w:rsid w:val="00AA15CB"/>
    <w:rsid w:val="00C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38DF1-2988-453D-AA1A-1C1759E7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5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4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90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6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865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0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2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2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7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5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50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3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3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4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69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4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7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6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0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6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6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56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1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1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0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3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8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2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0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1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6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0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2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04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7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8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5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0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1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2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8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8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2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2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66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5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39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6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9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7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800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372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2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Celeste Omodei</dc:creator>
  <cp:keywords/>
  <dc:description/>
  <cp:lastModifiedBy>Letícia Celeste Omodei</cp:lastModifiedBy>
  <cp:revision>1</cp:revision>
  <dcterms:created xsi:type="dcterms:W3CDTF">2017-06-01T18:14:00Z</dcterms:created>
  <dcterms:modified xsi:type="dcterms:W3CDTF">2017-06-01T18:15:00Z</dcterms:modified>
</cp:coreProperties>
</file>