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C2" w:rsidRDefault="00296BC2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444444"/>
          <w:sz w:val="23"/>
          <w:szCs w:val="23"/>
          <w:lang w:eastAsia="pt-BR"/>
        </w:rPr>
        <w:t>O Professor recomenda a leitura dos arquivos constantes nos links abaixo para discussão em sala.</w:t>
      </w:r>
    </w:p>
    <w:p w:rsidR="00296BC2" w:rsidRDefault="00296BC2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</w:p>
    <w:p w:rsidR="00296BC2" w:rsidRPr="00296BC2" w:rsidRDefault="008F1F56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222222"/>
          <w:sz w:val="10"/>
          <w:szCs w:val="10"/>
          <w:lang w:eastAsia="pt-BR"/>
        </w:rPr>
      </w:pPr>
      <w:hyperlink r:id="rId4" w:tgtFrame="_blank" w:history="1">
        <w:r w:rsidR="00296BC2" w:rsidRPr="00296BC2">
          <w:rPr>
            <w:rFonts w:ascii="Arial" w:eastAsia="Times New Roman" w:hAnsi="Arial" w:cs="Arial"/>
            <w:color w:val="0068CF"/>
            <w:sz w:val="23"/>
            <w:u w:val="single"/>
            <w:lang w:eastAsia="pt-BR"/>
          </w:rPr>
          <w:t>http://www.conjur.com.br/2015-mar-29/dierle-nunes-interpretacao-processual-deveria-considerar-cpc</w:t>
        </w:r>
      </w:hyperlink>
    </w:p>
    <w:p w:rsidR="00296BC2" w:rsidRDefault="00296BC2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222222"/>
          <w:sz w:val="10"/>
          <w:szCs w:val="10"/>
          <w:lang w:eastAsia="pt-BR"/>
        </w:rPr>
      </w:pPr>
    </w:p>
    <w:p w:rsidR="00296BC2" w:rsidRDefault="00296BC2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222222"/>
          <w:sz w:val="10"/>
          <w:szCs w:val="10"/>
          <w:lang w:eastAsia="pt-BR"/>
        </w:rPr>
      </w:pPr>
    </w:p>
    <w:p w:rsidR="00296BC2" w:rsidRPr="00296BC2" w:rsidRDefault="008F1F56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222222"/>
          <w:sz w:val="10"/>
          <w:szCs w:val="10"/>
          <w:lang w:eastAsia="pt-BR"/>
        </w:rPr>
      </w:pPr>
      <w:hyperlink r:id="rId5" w:tgtFrame="_blank" w:history="1">
        <w:r w:rsidR="00296BC2" w:rsidRPr="00296BC2">
          <w:rPr>
            <w:rFonts w:ascii="Arial" w:eastAsia="Times New Roman" w:hAnsi="Arial" w:cs="Arial"/>
            <w:color w:val="0068CF"/>
            <w:sz w:val="23"/>
            <w:u w:val="single"/>
            <w:lang w:eastAsia="pt-BR"/>
          </w:rPr>
          <w:t>http://jota.info/os-impactos-novo-cpc-stf</w:t>
        </w:r>
      </w:hyperlink>
    </w:p>
    <w:p w:rsidR="00296BC2" w:rsidRDefault="00296BC2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222222"/>
          <w:sz w:val="10"/>
          <w:szCs w:val="10"/>
          <w:lang w:eastAsia="pt-BR"/>
        </w:rPr>
      </w:pPr>
    </w:p>
    <w:p w:rsidR="00296BC2" w:rsidRDefault="00296BC2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222222"/>
          <w:sz w:val="10"/>
          <w:szCs w:val="10"/>
          <w:lang w:eastAsia="pt-BR"/>
        </w:rPr>
      </w:pPr>
    </w:p>
    <w:p w:rsidR="00296BC2" w:rsidRPr="00296BC2" w:rsidRDefault="008F1F56" w:rsidP="00296BC2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222222"/>
          <w:sz w:val="10"/>
          <w:szCs w:val="10"/>
          <w:lang w:eastAsia="pt-BR"/>
        </w:rPr>
      </w:pPr>
      <w:hyperlink r:id="rId6" w:tgtFrame="_blank" w:history="1">
        <w:r w:rsidR="00296BC2" w:rsidRPr="00296BC2">
          <w:rPr>
            <w:rFonts w:ascii="Arial" w:eastAsia="Times New Roman" w:hAnsi="Arial" w:cs="Arial"/>
            <w:color w:val="1155CC"/>
            <w:sz w:val="23"/>
            <w:u w:val="single"/>
            <w:lang w:eastAsia="pt-BR"/>
          </w:rPr>
          <w:t>http://jota.info/execucao-novo-cpc-mais-mesmo</w:t>
        </w:r>
      </w:hyperlink>
    </w:p>
    <w:p w:rsidR="008E4EE9" w:rsidRDefault="008E4EE9"/>
    <w:sectPr w:rsidR="008E4EE9" w:rsidSect="008E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296BC2"/>
    <w:rsid w:val="00296BC2"/>
    <w:rsid w:val="006B5933"/>
    <w:rsid w:val="008E4EE9"/>
    <w:rsid w:val="008F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6B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ta.info/execucao-novo-cpc-mais-mesmo" TargetMode="External"/><Relationship Id="rId5" Type="http://schemas.openxmlformats.org/officeDocument/2006/relationships/hyperlink" Target="http://jota.info/os-impactos-novo-cpc-stf" TargetMode="External"/><Relationship Id="rId4" Type="http://schemas.openxmlformats.org/officeDocument/2006/relationships/hyperlink" Target="http://www.conjur.com.br/2015-mar-29/dierle-nunes-interpretacao-processual-deveria-considerar-cp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2015-04-09T12:44:00Z</dcterms:created>
  <dcterms:modified xsi:type="dcterms:W3CDTF">2015-04-09T12:44:00Z</dcterms:modified>
</cp:coreProperties>
</file>