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7F" w:rsidRPr="0017039D" w:rsidRDefault="0017039D" w:rsidP="0017039D">
      <w:pPr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039D">
        <w:rPr>
          <w:rFonts w:ascii="Arial" w:hAnsi="Arial" w:cs="Arial"/>
          <w:b/>
          <w:sz w:val="24"/>
          <w:szCs w:val="24"/>
        </w:rPr>
        <w:t>EXECUÇÃO TRABALHISTA: DA LIQUIDAÇÃO À EXTINÇÃO DA OBRIGAÇÃO – PARTE 2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FIO/PROJURIS– OURINHOS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Dia 0</w:t>
      </w:r>
      <w:r w:rsidR="00117EBD">
        <w:rPr>
          <w:rFonts w:ascii="Arial" w:hAnsi="Arial" w:cs="Arial"/>
          <w:b/>
          <w:bCs/>
          <w:sz w:val="24"/>
          <w:szCs w:val="24"/>
        </w:rPr>
        <w:t>7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 de JUNHO de 2014</w:t>
      </w:r>
    </w:p>
    <w:p w:rsidR="002E707F" w:rsidRPr="0017039D" w:rsidRDefault="0017039D" w:rsidP="0017039D">
      <w:pPr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Profa</w:t>
      </w:r>
      <w:r w:rsidR="007C336F" w:rsidRPr="0017039D">
        <w:rPr>
          <w:rFonts w:ascii="Arial" w:hAnsi="Arial" w:cs="Arial"/>
          <w:sz w:val="24"/>
          <w:szCs w:val="24"/>
        </w:rPr>
        <w:t>. MA. ANA PAULA SEFRIN SALADINI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anapaulasefrin@hotmail.com</w:t>
      </w:r>
    </w:p>
    <w:p w:rsidR="0017039D" w:rsidRDefault="0017039D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PROGRAMA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7. CHAMANDO O RESPONSÁVEL À EXECUÇÃO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8. FASE DE EXPROPRIAÇÃO. </w:t>
      </w:r>
      <w:r w:rsidRPr="0017039D">
        <w:rPr>
          <w:rFonts w:ascii="Arial" w:hAnsi="Arial" w:cs="Arial"/>
          <w:sz w:val="24"/>
          <w:szCs w:val="24"/>
        </w:rPr>
        <w:t>ATOS DE ALIENAÇÃO: PRAÇA E LEILÃO. ADJUDICAÇÃO</w:t>
      </w:r>
      <w:bookmarkStart w:id="0" w:name="_GoBack"/>
      <w:bookmarkEnd w:id="0"/>
      <w:r w:rsidRPr="0017039D">
        <w:rPr>
          <w:rFonts w:ascii="Arial" w:hAnsi="Arial" w:cs="Arial"/>
          <w:sz w:val="24"/>
          <w:szCs w:val="24"/>
        </w:rPr>
        <w:t xml:space="preserve"> E REMIÇÃO. SUSPENSÃO DO PROCESSO QUANDO INEXISTENTES BENS DO EXECUTADO. EMBARGOS À EXPROPRIAÇÃO: ARREMATAÇÃO E À ADJUDICAÇÃO. EMBARGOS DE TERCEIRO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9. EXECUÇÃO CONTRA A FAZENDA PÚBLICA.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10. EXECUÇÃO CONTRA A M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ASSA FALIDA E CONTRA AS EMPRESAS EM RECUPERAÇÃO JUDICIAL. CONCURSO DE CREDORES NA EXECUÇÃO. </w:t>
      </w:r>
    </w:p>
    <w:p w:rsidR="0017039D" w:rsidRDefault="0017039D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7039D">
        <w:rPr>
          <w:rFonts w:ascii="Arial" w:hAnsi="Arial" w:cs="Arial"/>
          <w:b/>
          <w:sz w:val="24"/>
          <w:szCs w:val="24"/>
        </w:rPr>
        <w:t>7) CHAMANDO RESPONSÁVEL À EXECUÇÃO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ALGUNS CASOS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PRINCIPAL PROBLEMA: PATRIMÔNIO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ESPÉCIES DE RESPONSABILIZAÇÃO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Direta</w:t>
      </w:r>
      <w:r w:rsidRPr="0017039D">
        <w:rPr>
          <w:rFonts w:ascii="Arial" w:hAnsi="Arial" w:cs="Arial"/>
          <w:sz w:val="24"/>
          <w:szCs w:val="24"/>
        </w:rPr>
        <w:t>: coincidem a pessoa do empregador e a pessoa d</w:t>
      </w:r>
      <w:r w:rsidRPr="0017039D">
        <w:rPr>
          <w:rFonts w:ascii="Arial" w:hAnsi="Arial" w:cs="Arial"/>
          <w:sz w:val="24"/>
          <w:szCs w:val="24"/>
        </w:rPr>
        <w:t>o devedor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Solidária</w:t>
      </w:r>
      <w:r w:rsidRPr="0017039D">
        <w:rPr>
          <w:rFonts w:ascii="Arial" w:hAnsi="Arial" w:cs="Arial"/>
          <w:sz w:val="24"/>
          <w:szCs w:val="24"/>
        </w:rPr>
        <w:t>: quando há mais de um coobrigado (lei ou contrato); execução pode ser promovida por qualquer um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Subsidiária</w:t>
      </w:r>
      <w:r w:rsidRPr="0017039D">
        <w:rPr>
          <w:rFonts w:ascii="Arial" w:hAnsi="Arial" w:cs="Arial"/>
          <w:sz w:val="24"/>
          <w:szCs w:val="24"/>
        </w:rPr>
        <w:t>: quando há mais de um coobrigado</w:t>
      </w:r>
      <w:r w:rsidR="0017039D">
        <w:rPr>
          <w:rFonts w:ascii="Arial" w:hAnsi="Arial" w:cs="Arial"/>
          <w:sz w:val="24"/>
          <w:szCs w:val="24"/>
        </w:rPr>
        <w:t>,</w:t>
      </w:r>
      <w:r w:rsidRPr="0017039D">
        <w:rPr>
          <w:rFonts w:ascii="Arial" w:hAnsi="Arial" w:cs="Arial"/>
          <w:sz w:val="24"/>
          <w:szCs w:val="24"/>
        </w:rPr>
        <w:t xml:space="preserve"> mas deve ser respeitado o benefício de ordem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MOMENTO DA RESPONSABILIZAÇÃO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Na sentença: fez </w:t>
      </w:r>
      <w:r w:rsidRPr="0017039D">
        <w:rPr>
          <w:rFonts w:ascii="Arial" w:hAnsi="Arial" w:cs="Arial"/>
          <w:sz w:val="24"/>
          <w:szCs w:val="24"/>
        </w:rPr>
        <w:t>parte do título de conhecimento e discutiu sua formação (sem problemas)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 execução: só foi chamado no momento da execução (grande grau de inconformismo)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Hipótese mais comum: responsabilizar sócios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GRUPO ECONÔMICO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tiver feito parte desde a fase de conhe</w:t>
      </w:r>
      <w:r w:rsidRPr="0017039D">
        <w:rPr>
          <w:rFonts w:ascii="Arial" w:hAnsi="Arial" w:cs="Arial"/>
          <w:sz w:val="24"/>
          <w:szCs w:val="24"/>
        </w:rPr>
        <w:t>cimento, não há qualquer problema, porque é devedor solidário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Súmula 205 do TST exigia que o integrante do grupo fosse chamado no processo de conhecimento, mas foi cancelada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Discute-se hoje se o integrante do grupo pode ser chamado só na fase de execução</w:t>
      </w:r>
      <w:r w:rsidRPr="0017039D">
        <w:rPr>
          <w:rFonts w:ascii="Arial" w:hAnsi="Arial" w:cs="Arial"/>
          <w:sz w:val="24"/>
          <w:szCs w:val="24"/>
        </w:rPr>
        <w:t xml:space="preserve"> (Pinto Martins: não; Gustavo Barbosa: sim)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OJ-EX-SE-40 (TRT-9), item I, permite, desde que assegurada a ampla defesa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SUCESSOR TRABALHISTA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 sucessão de empregadores pode ser posterior ao título, e pode ser alegada e demonstrada na fase de execução, desde </w:t>
      </w:r>
      <w:r w:rsidRPr="0017039D">
        <w:rPr>
          <w:rFonts w:ascii="Arial" w:hAnsi="Arial" w:cs="Arial"/>
          <w:sz w:val="24"/>
          <w:szCs w:val="24"/>
        </w:rPr>
        <w:t>que observado o contraditório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Fundamentos: arts. 10 e 448 da CLT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A empresa sucessora assume as obrigações trabalhistas da empresa sucedida e sua posição no processo (MARTINS). Logo, há uma substituição de devedor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SÓCIO RECLAMADO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o sócio participou da re</w:t>
      </w:r>
      <w:r w:rsidRPr="0017039D">
        <w:rPr>
          <w:rFonts w:ascii="Arial" w:hAnsi="Arial" w:cs="Arial"/>
          <w:sz w:val="24"/>
          <w:szCs w:val="24"/>
        </w:rPr>
        <w:t>lação jurídica desde o processo de conhecimento, responderá na forma estabelecida no título, de forma subsidiária (situação mais comum) ou solidária (como no caso de sociedade de fato)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for devedor subsidiário, tem benefício de ordem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SÓCIO E A DESCONSI</w:t>
      </w:r>
      <w:r w:rsidRPr="0017039D">
        <w:rPr>
          <w:rFonts w:ascii="Arial" w:hAnsi="Arial" w:cs="Arial"/>
          <w:sz w:val="24"/>
          <w:szCs w:val="24"/>
        </w:rPr>
        <w:t>DERAÇÃO DA PERSONALIDADE JURÍDICA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princípio, os bens dos sócios não respondem pela execução, porque as personalidades jurídicas são distintas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teoria da desconsideração da personalidade jurídica relativiza a autonomia (inclusive patrimonial) entre a pes</w:t>
      </w:r>
      <w:r w:rsidRPr="0017039D">
        <w:rPr>
          <w:rFonts w:ascii="Arial" w:hAnsi="Arial" w:cs="Arial"/>
          <w:sz w:val="24"/>
          <w:szCs w:val="24"/>
        </w:rPr>
        <w:t>soa jurídica e seus integrantes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Técnica jurídica específica para declaração de ineficácia especial da personalidade jurídica apenas para certos aspectos do caso em concreto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Utilizada quando há desvio de finalidade ou confusão entre o patrimônio da pessoa j</w:t>
      </w:r>
      <w:r w:rsidRPr="0017039D">
        <w:rPr>
          <w:rFonts w:ascii="Arial" w:hAnsi="Arial" w:cs="Arial"/>
          <w:sz w:val="24"/>
          <w:szCs w:val="24"/>
        </w:rPr>
        <w:t>urídica e de seus sócios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Abuso de direito (desvio de finalidade)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Declaração incidental a pedido ou 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ex officio, </w:t>
      </w:r>
      <w:r w:rsidRPr="0017039D">
        <w:rPr>
          <w:rFonts w:ascii="Arial" w:hAnsi="Arial" w:cs="Arial"/>
          <w:sz w:val="24"/>
          <w:szCs w:val="24"/>
        </w:rPr>
        <w:t>observado contraditório e ampla defesa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Fundamentos legais</w:t>
      </w:r>
      <w:r w:rsidRPr="0017039D">
        <w:rPr>
          <w:rFonts w:ascii="Arial" w:hAnsi="Arial" w:cs="Arial"/>
          <w:sz w:val="24"/>
          <w:szCs w:val="24"/>
        </w:rPr>
        <w:t>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Art. 28 do CDC</w:t>
      </w:r>
      <w:r w:rsidRPr="0017039D">
        <w:rPr>
          <w:rFonts w:ascii="Arial" w:hAnsi="Arial" w:cs="Arial"/>
          <w:sz w:val="24"/>
          <w:szCs w:val="24"/>
        </w:rPr>
        <w:t>: abuso de direito, excesso de poder, infração da lei, fato ou ato ilíci</w:t>
      </w:r>
      <w:r w:rsidRPr="0017039D">
        <w:rPr>
          <w:rFonts w:ascii="Arial" w:hAnsi="Arial" w:cs="Arial"/>
          <w:sz w:val="24"/>
          <w:szCs w:val="24"/>
        </w:rPr>
        <w:t>to, violação dos estatutos ou do contrato social ou quando for obstáculo ao ressarcimento dos prejuízos causados aos consumidores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Art. 50 do CC</w:t>
      </w:r>
      <w:r w:rsidRPr="0017039D">
        <w:rPr>
          <w:rFonts w:ascii="Arial" w:hAnsi="Arial" w:cs="Arial"/>
          <w:sz w:val="24"/>
          <w:szCs w:val="24"/>
        </w:rPr>
        <w:t>: desvio de finalidade ou confusão patrimonial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Art. 34 da Lei 12.529/11</w:t>
      </w:r>
      <w:r w:rsidRPr="0017039D">
        <w:rPr>
          <w:rFonts w:ascii="Arial" w:hAnsi="Arial" w:cs="Arial"/>
          <w:sz w:val="24"/>
          <w:szCs w:val="24"/>
        </w:rPr>
        <w:t xml:space="preserve">: a personalidade jurídica do responsável </w:t>
      </w:r>
      <w:r w:rsidRPr="0017039D">
        <w:rPr>
          <w:rFonts w:ascii="Arial" w:hAnsi="Arial" w:cs="Arial"/>
          <w:sz w:val="24"/>
          <w:szCs w:val="24"/>
        </w:rPr>
        <w:t>pela infração da ordem econômica poderá ser desconsiderada nos seguintes casos: abuso de direito, excesso de poder, infração da lei, fato ou ato ilícito ou violação dos estatutos ou do contrato social, falência, estado de insolvência, encerramento ou inati</w:t>
      </w:r>
      <w:r w:rsidRPr="0017039D">
        <w:rPr>
          <w:rFonts w:ascii="Arial" w:hAnsi="Arial" w:cs="Arial"/>
          <w:sz w:val="24"/>
          <w:szCs w:val="24"/>
        </w:rPr>
        <w:t>vidade da pessoa jurídica provocada pela má administração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Art. 4º da Lei 9.605/98</w:t>
      </w:r>
      <w:r w:rsidRPr="0017039D">
        <w:rPr>
          <w:rFonts w:ascii="Arial" w:hAnsi="Arial" w:cs="Arial"/>
          <w:sz w:val="24"/>
          <w:szCs w:val="24"/>
        </w:rPr>
        <w:t>: desconsideração quanto a personalidade for obstáculo ao ressarcimento de prejuízos causados à qualidade do meio ambiente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Fundamentos da responsabilização dos sócios: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135, III, do CTN: responsabilidade pessoal dos diretores, gerentes ou representantes de pessoas jurídicas pelos atos praticados com excesso de poder ou infração da lei, do contrato social ou dos estatutos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134, VII, do CTN: responsabilidade solidá</w:t>
      </w:r>
      <w:r w:rsidRPr="0017039D">
        <w:rPr>
          <w:rFonts w:ascii="Arial" w:hAnsi="Arial" w:cs="Arial"/>
          <w:sz w:val="24"/>
          <w:szCs w:val="24"/>
        </w:rPr>
        <w:t>ria dos sócios nos casos de liquidação de sociedade e impossibilidade de exigência do cumprimento da obrigação principal pelo contribuinte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Art. 158 da Lei das S/A: responsabilidade civil do administrador pelos prejuízos que ele causar na gestão da empresa </w:t>
      </w:r>
      <w:r w:rsidRPr="0017039D">
        <w:rPr>
          <w:rFonts w:ascii="Arial" w:hAnsi="Arial" w:cs="Arial"/>
          <w:sz w:val="24"/>
          <w:szCs w:val="24"/>
        </w:rPr>
        <w:t>quando proceder com culpa, dolo ou violação da lei ou dos estatutos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QUANDO EXISTE RESPONSÁVEL SUBSIDIÁRIO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Primeiro se executa o responsável subsidiário, depois se desconsidera a personalidade jurídica do empregador: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OJ 40, III: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 xml:space="preserve">Pessoas jurídicas. </w:t>
      </w:r>
      <w:r w:rsidRPr="0017039D">
        <w:rPr>
          <w:rFonts w:ascii="Arial" w:hAnsi="Arial" w:cs="Arial"/>
          <w:i/>
          <w:iCs/>
          <w:sz w:val="24"/>
          <w:szCs w:val="24"/>
        </w:rPr>
        <w:t>Responsabilidade. Execução imediata dos sócios. Impossibilidade</w:t>
      </w:r>
      <w:r w:rsidRPr="0017039D">
        <w:rPr>
          <w:rFonts w:ascii="Arial" w:hAnsi="Arial" w:cs="Arial"/>
          <w:sz w:val="24"/>
          <w:szCs w:val="24"/>
        </w:rPr>
        <w:t xml:space="preserve">. Frustrada a execução em face da devedora principal, a responsabilidade pelo adimplemento passa a ser do responsável subsidiário, que tem o ônus de apontar a existência de bens desembaraçados </w:t>
      </w:r>
      <w:r w:rsidRPr="0017039D">
        <w:rPr>
          <w:rFonts w:ascii="Arial" w:hAnsi="Arial" w:cs="Arial"/>
          <w:sz w:val="24"/>
          <w:szCs w:val="24"/>
        </w:rPr>
        <w:t>se alegar o benefício de ordem. Somente depois de inviabilizada a execução em face das pessoas jurídicas poderá ser direcionada a execução contra as pessoas dos sócios.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BASTA INIDONEIDADE FINANCEIRA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há necessidade específica de demonstrar violação de e</w:t>
      </w:r>
      <w:r w:rsidRPr="0017039D">
        <w:rPr>
          <w:rFonts w:ascii="Arial" w:hAnsi="Arial" w:cs="Arial"/>
          <w:sz w:val="24"/>
          <w:szCs w:val="24"/>
        </w:rPr>
        <w:t>statutos ou outra hipótese, bastando a falta de idoneidade financeira da pessoa jurídica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OJ 40, item IV: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Pessoa jurídica</w:t>
      </w:r>
      <w:r w:rsidRPr="0017039D">
        <w:rPr>
          <w:rFonts w:ascii="Arial" w:hAnsi="Arial" w:cs="Arial"/>
          <w:sz w:val="24"/>
          <w:szCs w:val="24"/>
        </w:rPr>
        <w:t xml:space="preserve">. 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Despersonalização. Penhora sobre bens dos sócios. </w:t>
      </w:r>
      <w:r w:rsidRPr="0017039D">
        <w:rPr>
          <w:rFonts w:ascii="Arial" w:hAnsi="Arial" w:cs="Arial"/>
          <w:sz w:val="24"/>
          <w:szCs w:val="24"/>
        </w:rPr>
        <w:t>Evidenciada a inidoneidade financeira da empresa, aplica-se a desconsideração da per</w:t>
      </w:r>
      <w:r w:rsidRPr="0017039D">
        <w:rPr>
          <w:rFonts w:ascii="Arial" w:hAnsi="Arial" w:cs="Arial"/>
          <w:sz w:val="24"/>
          <w:szCs w:val="24"/>
        </w:rPr>
        <w:t>sonalidade jurídica para buscar a satisfação do crédito sobre o patrimônio pessoal dos sócios ou ex-sócios, que respondem pelos créditos trabalhistas devidos pela sociedade que integram ou integraram, ainda que na condição de cotistas ou minoritários.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SÓCI</w:t>
      </w:r>
      <w:r w:rsidRPr="0017039D">
        <w:rPr>
          <w:rFonts w:ascii="Arial" w:hAnsi="Arial" w:cs="Arial"/>
          <w:sz w:val="24"/>
          <w:szCs w:val="24"/>
        </w:rPr>
        <w:t>O RETIRANTE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Dessa mesma OJ item destaca-se a expressão “sociedade que INTEGRAM OU INTEGRARAM”: inclui o sócio retirante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Ainda que na condição de cotista ou minoritário: mesmo que não tivesse poderes de gerência e/ou administração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 acordo com item V, o li</w:t>
      </w:r>
      <w:r w:rsidRPr="0017039D">
        <w:rPr>
          <w:rFonts w:ascii="Arial" w:hAnsi="Arial" w:cs="Arial"/>
          <w:sz w:val="24"/>
          <w:szCs w:val="24"/>
        </w:rPr>
        <w:t>mite da responsabilidade do s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ócio retirante está vinculado ao tempo de sua permanência na sociedade: </w:t>
      </w:r>
      <w:r w:rsidRPr="0017039D">
        <w:rPr>
          <w:rFonts w:ascii="Arial" w:hAnsi="Arial" w:cs="Arial"/>
          <w:sz w:val="24"/>
          <w:szCs w:val="24"/>
        </w:rPr>
        <w:t>responde por parcelas devidas até a data da sua saída devidamente registrada no órgão oficial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MAS se houver constituição irregular da sociedade a responsab</w:t>
      </w:r>
      <w:r w:rsidRPr="0017039D">
        <w:rPr>
          <w:rFonts w:ascii="Arial" w:hAnsi="Arial" w:cs="Arial"/>
          <w:sz w:val="24"/>
          <w:szCs w:val="24"/>
        </w:rPr>
        <w:t>ilidade torna-se ilimitada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Meio de eximir-se: indicar bens livres, desembaraçados e suficientes dos sócios remanescentes ou da pessoa jurídica (item VI)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SÓCIO RETIRANTE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1003 do Código Civil: limita a responsabilidade do sócio ao período de dois anos a</w:t>
      </w:r>
      <w:r w:rsidRPr="0017039D">
        <w:rPr>
          <w:rFonts w:ascii="Arial" w:hAnsi="Arial" w:cs="Arial"/>
          <w:sz w:val="24"/>
          <w:szCs w:val="24"/>
        </w:rPr>
        <w:t>pós a saída do sócio da sociedade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processo do trabalho a tendência é responsabilizar o sócio que integrava a sociedade na época da prestação de serviços do empregado ou caso tenha se beneficiado de seu trabalho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Decorre da regra de que o empregado não po</w:t>
      </w:r>
      <w:r w:rsidRPr="0017039D">
        <w:rPr>
          <w:rFonts w:ascii="Arial" w:hAnsi="Arial" w:cs="Arial"/>
          <w:sz w:val="24"/>
          <w:szCs w:val="24"/>
        </w:rPr>
        <w:t>de sofrer os riscos do empreendimento somado à natureza alimentar do crédito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Sócio retirante pode buscar se ressarcir em ação de regresso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Crítica (Ophir Cavalcante Jr.)</w:t>
      </w:r>
      <w:r w:rsidRPr="0017039D">
        <w:rPr>
          <w:rFonts w:ascii="Arial" w:hAnsi="Arial" w:cs="Arial"/>
          <w:sz w:val="24"/>
          <w:szCs w:val="24"/>
        </w:rPr>
        <w:t xml:space="preserve">: </w:t>
      </w:r>
      <w:r w:rsidRPr="0017039D">
        <w:rPr>
          <w:rFonts w:ascii="Arial" w:hAnsi="Arial" w:cs="Arial"/>
          <w:i/>
          <w:iCs/>
          <w:sz w:val="24"/>
          <w:szCs w:val="24"/>
        </w:rPr>
        <w:t>até que sobrevenha a sentença o sócio prejudicado poderá levar décadas sem acesso a se</w:t>
      </w:r>
      <w:r w:rsidRPr="0017039D">
        <w:rPr>
          <w:rFonts w:ascii="Arial" w:hAnsi="Arial" w:cs="Arial"/>
          <w:i/>
          <w:iCs/>
          <w:sz w:val="24"/>
          <w:szCs w:val="24"/>
        </w:rPr>
        <w:t>us bens, o que representa uma violência ao direito de propriedade [...]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RESPONSABILIDADE PARCIAL DE SÓCIO RETIRANTE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Como proceder em relação àquele sócio que integrou a sociedade apenas em parte do contrato de trabalho do exequente?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 xml:space="preserve">A desconsideração deve </w:t>
      </w:r>
      <w:r w:rsidRPr="0017039D">
        <w:rPr>
          <w:rFonts w:ascii="Arial" w:hAnsi="Arial" w:cs="Arial"/>
          <w:sz w:val="24"/>
          <w:szCs w:val="24"/>
        </w:rPr>
        <w:t>ser declarada regressivamente no tempo, até atingir todos os sócios beneficiados pela prestação de serviços daquele empregado, não podendo atingir quem não se beneficiou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Primeira situação</w:t>
      </w:r>
      <w:r w:rsidRPr="0017039D">
        <w:rPr>
          <w:rFonts w:ascii="Arial" w:hAnsi="Arial" w:cs="Arial"/>
          <w:sz w:val="24"/>
          <w:szCs w:val="24"/>
        </w:rPr>
        <w:t>: quanto às dívidas adquiridas pela sociedade posteriormente à sua sa</w:t>
      </w:r>
      <w:r w:rsidRPr="0017039D">
        <w:rPr>
          <w:rFonts w:ascii="Arial" w:hAnsi="Arial" w:cs="Arial"/>
          <w:sz w:val="24"/>
          <w:szCs w:val="24"/>
        </w:rPr>
        <w:t>ída, não pode responder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sócio se retirou da sociedade em 01.03.05; o empregado foi admitido em 10.05.05; esse sócio não se beneficiou de maneira alguma desse trabalho, e, portanto, não pode ser responsabilizado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Segunda situação</w:t>
      </w:r>
      <w:r w:rsidRPr="0017039D">
        <w:rPr>
          <w:rFonts w:ascii="Arial" w:hAnsi="Arial" w:cs="Arial"/>
          <w:sz w:val="24"/>
          <w:szCs w:val="24"/>
        </w:rPr>
        <w:t xml:space="preserve">: quanto às </w:t>
      </w:r>
      <w:r w:rsidRPr="0017039D">
        <w:rPr>
          <w:rFonts w:ascii="Arial" w:hAnsi="Arial" w:cs="Arial"/>
          <w:sz w:val="24"/>
          <w:szCs w:val="24"/>
        </w:rPr>
        <w:t>obrigações anteriores à sua entrada, pode responder, mesmo que não tenha sido sócio no período trabalhado, porque, ao adquirir as cotas, adquiriu responsabilidade em relação ao passivo da pessoa jurídica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Art. 10 e 448 da CLT: a alteração na estrutura juríd</w:t>
      </w:r>
      <w:r w:rsidRPr="0017039D">
        <w:rPr>
          <w:rFonts w:ascii="Arial" w:hAnsi="Arial" w:cs="Arial"/>
          <w:i/>
          <w:iCs/>
          <w:sz w:val="24"/>
          <w:szCs w:val="24"/>
        </w:rPr>
        <w:t>ica da empresa/mudança na propriedade ou estrutura jurídica não afeta os direitos adquiridos dos empregados nem os contratos de trabalho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 xml:space="preserve">Art. 1.025 do Código Civil: O sócio, admitido em sociedade já constituída, não se exime das dívidas sociais anteriores </w:t>
      </w:r>
      <w:r w:rsidRPr="0017039D">
        <w:rPr>
          <w:rFonts w:ascii="Arial" w:hAnsi="Arial" w:cs="Arial"/>
          <w:i/>
          <w:iCs/>
          <w:sz w:val="24"/>
          <w:szCs w:val="24"/>
        </w:rPr>
        <w:t>à admissão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o sócio se integrou à sociedade em 01.05.05; o empregado foi demitido em 10.03.05, antes de seu ingresso; esse sócio pode ser responsabilizado por todo o período contratual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Terceira situação</w:t>
      </w:r>
      <w:r w:rsidRPr="0017039D">
        <w:rPr>
          <w:rFonts w:ascii="Arial" w:hAnsi="Arial" w:cs="Arial"/>
          <w:sz w:val="24"/>
          <w:szCs w:val="24"/>
        </w:rPr>
        <w:t xml:space="preserve">: o sócio deve responder proporcionalmente </w:t>
      </w:r>
      <w:r w:rsidRPr="0017039D">
        <w:rPr>
          <w:rFonts w:ascii="Arial" w:hAnsi="Arial" w:cs="Arial"/>
          <w:sz w:val="24"/>
          <w:szCs w:val="24"/>
        </w:rPr>
        <w:t>pelo crédito de trabalhador que teve parte do contrato de trabalho abrangido pelo período em que o sócio participou da sociedade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o empregado trabalhou de 01.01.2000 a 31.12.2002 (36 meses); o sócio participou da sociedade de 01.01.2000 a 31.12.200</w:t>
      </w:r>
      <w:r w:rsidRPr="0017039D">
        <w:rPr>
          <w:rFonts w:ascii="Arial" w:hAnsi="Arial" w:cs="Arial"/>
          <w:sz w:val="24"/>
          <w:szCs w:val="24"/>
        </w:rPr>
        <w:t>0 (primeiros 12 meses), e depois se retirou; sua responsabilidade deve ser proporcional a 12/36 avos do crédito do trabalhador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Justificativa: não se beneficiou de maneira alguma do trabalho prestado após sua saída, e, portanto, não pode responder pela dívi</w:t>
      </w:r>
      <w:r w:rsidRPr="0017039D">
        <w:rPr>
          <w:rFonts w:ascii="Arial" w:hAnsi="Arial" w:cs="Arial"/>
          <w:sz w:val="24"/>
          <w:szCs w:val="24"/>
        </w:rPr>
        <w:t>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Proteção à boa fé do sócio retirante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se aplica em caso de retirada fraudulenta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Seria diferente se o empregado tivesse trabalhado de 01.01.2000 a 31.12.2002 (36 meses) e o sócio tivesse participado da sociedade de 01.01.2002 a 31.12.2002 (últimos 12 </w:t>
      </w:r>
      <w:r w:rsidRPr="0017039D">
        <w:rPr>
          <w:rFonts w:ascii="Arial" w:hAnsi="Arial" w:cs="Arial"/>
          <w:sz w:val="24"/>
          <w:szCs w:val="24"/>
        </w:rPr>
        <w:t>meses), e depois se retirado; nesse caso, sua responsabilidade seria integral:</w:t>
      </w:r>
    </w:p>
    <w:p w:rsidR="002E707F" w:rsidRPr="0017039D" w:rsidRDefault="007C336F" w:rsidP="0017039D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Primeiros 24 meses por sucessão (proveito indireto – art. 1025 do CC)</w:t>
      </w:r>
    </w:p>
    <w:p w:rsidR="002E707F" w:rsidRPr="0017039D" w:rsidRDefault="007C336F" w:rsidP="0017039D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Últimos 12 meses por proveito direto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Decisão recente: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RESPONSABILIDADE DO EX-SÓCIO. LIMITE. [...] O redirec</w:t>
      </w:r>
      <w:r w:rsidRPr="0017039D">
        <w:rPr>
          <w:rFonts w:ascii="Arial" w:hAnsi="Arial" w:cs="Arial"/>
          <w:sz w:val="24"/>
          <w:szCs w:val="24"/>
        </w:rPr>
        <w:t>ionamento da execução pode ocorrer em face de quaisquer sócios ou ex-sócios, minoritários ou majoritários, exercentes de cargo de gestão ou não, desde que tenham participado da sociedade no período de prestação de serviços do trabalhador, justamente em raz</w:t>
      </w:r>
      <w:r w:rsidRPr="0017039D">
        <w:rPr>
          <w:rFonts w:ascii="Arial" w:hAnsi="Arial" w:cs="Arial"/>
          <w:sz w:val="24"/>
          <w:szCs w:val="24"/>
        </w:rPr>
        <w:t xml:space="preserve">ão da natureza alimentar da verba devida. </w:t>
      </w:r>
      <w:r w:rsidRPr="0017039D">
        <w:rPr>
          <w:rFonts w:ascii="Arial" w:hAnsi="Arial" w:cs="Arial"/>
          <w:sz w:val="24"/>
          <w:szCs w:val="24"/>
          <w:u w:val="single"/>
        </w:rPr>
        <w:t>A responsabilidade do sócio retirante limita-se ao período em que integrou a sociedade e em que o trabalhador prestou serviços a esta, ou seja, no lapso em que se beneficiou dos serviços prestados pelo trabalhador</w:t>
      </w:r>
      <w:r w:rsidRPr="0017039D">
        <w:rPr>
          <w:rFonts w:ascii="Arial" w:hAnsi="Arial" w:cs="Arial"/>
          <w:sz w:val="24"/>
          <w:szCs w:val="24"/>
        </w:rPr>
        <w:t>.</w:t>
      </w:r>
      <w:r w:rsidRPr="0017039D">
        <w:rPr>
          <w:rFonts w:ascii="Arial" w:hAnsi="Arial" w:cs="Arial"/>
          <w:sz w:val="24"/>
          <w:szCs w:val="24"/>
        </w:rPr>
        <w:t xml:space="preserve"> Na seara trabalhista não se aplica a regra do art. 1032, do Código Civil, ou outra análoga (art. 1.003, Parágrafo único), dada a sua incompatibilidade com os arts. 10 e 448, da CLT, que não admitem </w:t>
      </w:r>
      <w:r w:rsidRPr="0017039D">
        <w:rPr>
          <w:rFonts w:ascii="Arial" w:hAnsi="Arial" w:cs="Arial"/>
          <w:sz w:val="24"/>
          <w:szCs w:val="24"/>
        </w:rPr>
        <w:lastRenderedPageBreak/>
        <w:t>que o credor trabalhista suporte os prejuízos decorrentes</w:t>
      </w:r>
      <w:r w:rsidRPr="0017039D">
        <w:rPr>
          <w:rFonts w:ascii="Arial" w:hAnsi="Arial" w:cs="Arial"/>
          <w:sz w:val="24"/>
          <w:szCs w:val="24"/>
        </w:rPr>
        <w:t xml:space="preserve"> da alteração da estrutura jurídica da empresa. </w:t>
      </w:r>
      <w:r w:rsidRPr="0017039D">
        <w:rPr>
          <w:rFonts w:ascii="Arial" w:hAnsi="Arial" w:cs="Arial"/>
          <w:b/>
          <w:bCs/>
          <w:sz w:val="24"/>
          <w:szCs w:val="24"/>
        </w:rPr>
        <w:t>TRT-PR-11523-2000-014-09-00-3-ACO-05370-2014 - SEÇÃO ESPECIALIZADA - Relator: CÉLIO HORST WALDRAFF - Publicado no DEJT em 28-02-2014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Quarta situação</w:t>
      </w:r>
      <w:r w:rsidRPr="0017039D">
        <w:rPr>
          <w:rFonts w:ascii="Arial" w:hAnsi="Arial" w:cs="Arial"/>
          <w:sz w:val="24"/>
          <w:szCs w:val="24"/>
        </w:rPr>
        <w:t>: se foi declarada a prescrição de direitos do trabalhador n</w:t>
      </w:r>
      <w:r w:rsidRPr="0017039D">
        <w:rPr>
          <w:rFonts w:ascii="Arial" w:hAnsi="Arial" w:cs="Arial"/>
          <w:sz w:val="24"/>
          <w:szCs w:val="24"/>
        </w:rPr>
        <w:t>o período em que foi sócio, não responde pelo débito trabalhista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retirou-se da sociedade em 18/03/2002, data limite de sua responsabilidade; a prescrição quinquenal declarada no título executivo alcança os créditos anteriores a 09/12/2003; inviáve</w:t>
      </w:r>
      <w:r w:rsidRPr="0017039D">
        <w:rPr>
          <w:rFonts w:ascii="Arial" w:hAnsi="Arial" w:cs="Arial"/>
          <w:sz w:val="24"/>
          <w:szCs w:val="24"/>
        </w:rPr>
        <w:t>l o reconhecimento da responsabilidade desse sócio (decisão proferida nos autos TRT-PR-02538-2009-643-09-00-3-ACO-41838-2013 - Seção Especializada - Relator: Des. Benedito Xavier Da Silva - Publicado no DEJT em 22-10-2013)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PROCEDIMENTO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ATUAL: declaração in</w:t>
      </w:r>
      <w:r w:rsidRPr="0017039D">
        <w:rPr>
          <w:rFonts w:ascii="Arial" w:hAnsi="Arial" w:cs="Arial"/>
          <w:sz w:val="24"/>
          <w:szCs w:val="24"/>
        </w:rPr>
        <w:t xml:space="preserve">cidental a pedido ou 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ex officio, </w:t>
      </w:r>
      <w:r w:rsidRPr="0017039D">
        <w:rPr>
          <w:rFonts w:ascii="Arial" w:hAnsi="Arial" w:cs="Arial"/>
          <w:sz w:val="24"/>
          <w:szCs w:val="24"/>
        </w:rPr>
        <w:t>observado contraditório e ampla defesa através de embargos ou exceção de pré-executividade, sem necessária suspensão do feito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Há quem defenda a possibilidade de constrição cautelar e de ofício de patrimônio do sócio da empr</w:t>
      </w:r>
      <w:r w:rsidRPr="0017039D">
        <w:rPr>
          <w:rFonts w:ascii="Arial" w:hAnsi="Arial" w:cs="Arial"/>
          <w:sz w:val="24"/>
          <w:szCs w:val="24"/>
        </w:rPr>
        <w:t>esa executada, imediata à desconsideração da personalidade jurídica, antes do ato de citação do sócio a ser incluído no polo passivo, a fim de assegurar-se a efetividade do processo. (Jornada Nacional sobre Execução na Justiça do Trabalho, novembro de 2010</w:t>
      </w:r>
      <w:r w:rsidRPr="0017039D">
        <w:rPr>
          <w:rFonts w:ascii="Arial" w:hAnsi="Arial" w:cs="Arial"/>
          <w:sz w:val="24"/>
          <w:szCs w:val="24"/>
        </w:rPr>
        <w:t>, Enunciado 2)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Proposta do novo CPC: a desconsideração da personalidade jurídica passa a ser instaurada em incidente no qual se apurará, em contraditório prévio, a ocorrência ou não das situações autorizadas pela lei (art. 28 do CDC e art. 50 do CC) para r</w:t>
      </w:r>
      <w:r w:rsidRPr="0017039D">
        <w:rPr>
          <w:rFonts w:ascii="Arial" w:hAnsi="Arial" w:cs="Arial"/>
          <w:sz w:val="24"/>
          <w:szCs w:val="24"/>
        </w:rPr>
        <w:t xml:space="preserve">esponsabilização pessoal dos sócios de pessoa jurídica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Busca evitar “abusos” do uso do instituto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PROPOSTA DE TEXTO LEGAL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133. O incidente de desconsideração da personalidade jurídica será instaurado a pedido da parte [fundamentado] ou do Ministério P</w:t>
      </w:r>
      <w:r w:rsidRPr="0017039D">
        <w:rPr>
          <w:rFonts w:ascii="Arial" w:hAnsi="Arial" w:cs="Arial"/>
          <w:sz w:val="24"/>
          <w:szCs w:val="24"/>
        </w:rPr>
        <w:t xml:space="preserve">úblico, quando lhe couber intervir no processo.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Art. 134. O incidente de desconsideração é cabível em todas as fases do processo de conhecimento, no cumprimento de sentença e na execução fundada em título executivo extrajudicial.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§ 3º A instauração do in</w:t>
      </w:r>
      <w:r w:rsidRPr="0017039D">
        <w:rPr>
          <w:rFonts w:ascii="Arial" w:hAnsi="Arial" w:cs="Arial"/>
          <w:sz w:val="24"/>
          <w:szCs w:val="24"/>
        </w:rPr>
        <w:t>cidente suspenderá o processo [...]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Art. 135. Instaurado o incidente, o sócio ou a pessoa jurídica será citado para manifestar-se e requerer as provas cabíveis no prazo de quinze dias.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136. Concluída a instrução, se necessária, o incidente será resol</w:t>
      </w:r>
      <w:r w:rsidRPr="0017039D">
        <w:rPr>
          <w:rFonts w:ascii="Arial" w:hAnsi="Arial" w:cs="Arial"/>
          <w:sz w:val="24"/>
          <w:szCs w:val="24"/>
        </w:rPr>
        <w:t xml:space="preserve">vido por decisão interlocutória, contra a qual caberá agravo de instrumento.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137. Acolhido o pedido de desconsideração, a alienação ou oneração de bens, havida em fraude de execução, após a instauração do incidente, será ineficaz em relação ao requer</w:t>
      </w:r>
      <w:r w:rsidRPr="0017039D">
        <w:rPr>
          <w:rFonts w:ascii="Arial" w:hAnsi="Arial" w:cs="Arial"/>
          <w:sz w:val="24"/>
          <w:szCs w:val="24"/>
        </w:rPr>
        <w:t xml:space="preserve">ente.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OUTRAS PROPOSTAS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PL 5.140/2005: acrescentaria o Art. 883-D à CLT, estabelecendo que a aplicação do princípio da desconsideração da personalidade jurídica, à execução da sentença trabalhista, exigiria prévia comprovação de ter </w:t>
      </w:r>
      <w:r w:rsidRPr="0017039D">
        <w:rPr>
          <w:rFonts w:ascii="Arial" w:hAnsi="Arial" w:cs="Arial"/>
          <w:sz w:val="24"/>
          <w:szCs w:val="24"/>
        </w:rPr>
        <w:lastRenderedPageBreak/>
        <w:t xml:space="preserve">ocorrido abuso de </w:t>
      </w:r>
      <w:r w:rsidRPr="0017039D">
        <w:rPr>
          <w:rFonts w:ascii="Arial" w:hAnsi="Arial" w:cs="Arial"/>
          <w:sz w:val="24"/>
          <w:szCs w:val="24"/>
        </w:rPr>
        <w:t>direito, desvio de finalidade, confusão patrimonial, excesso de poder, ocorrência de fato ou ato ilícito ou violação dos estatutos ou contrato social.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PL 870/2007: Acrescenta dispositivos à CLT, restringindo a responsabilidade dos sócios à exata proporção do capital social da pessoa jurídica executada por débitos trabalhistas.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SOCIEDADE ANÔNIMA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Sociedade de capital, e não sociedade de pessoas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se per</w:t>
      </w:r>
      <w:r w:rsidRPr="0017039D">
        <w:rPr>
          <w:rFonts w:ascii="Arial" w:hAnsi="Arial" w:cs="Arial"/>
          <w:sz w:val="24"/>
          <w:szCs w:val="24"/>
        </w:rPr>
        <w:t>mite a responsabilização dos acionistas, mas apenas dos diretores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158 da Lei das S/A: responsabilidade civil do administrador pelos prejuízos que ele causar na gestão da empresa quando proceder com culpa, dolo ou violação da lei ou dos estatutos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OJ 40</w:t>
      </w:r>
      <w:r w:rsidRPr="0017039D">
        <w:rPr>
          <w:rFonts w:ascii="Arial" w:hAnsi="Arial" w:cs="Arial"/>
          <w:sz w:val="24"/>
          <w:szCs w:val="24"/>
        </w:rPr>
        <w:t xml:space="preserve">, item VII: </w:t>
      </w:r>
      <w:r w:rsidRPr="0017039D">
        <w:rPr>
          <w:rFonts w:ascii="Arial" w:hAnsi="Arial" w:cs="Arial"/>
          <w:i/>
          <w:iCs/>
          <w:sz w:val="24"/>
          <w:szCs w:val="24"/>
        </w:rPr>
        <w:t>Pessoa jurídica</w:t>
      </w:r>
      <w:r w:rsidRPr="0017039D">
        <w:rPr>
          <w:rFonts w:ascii="Arial" w:hAnsi="Arial" w:cs="Arial"/>
          <w:sz w:val="24"/>
          <w:szCs w:val="24"/>
        </w:rPr>
        <w:t xml:space="preserve">. </w:t>
      </w:r>
      <w:r w:rsidRPr="0017039D">
        <w:rPr>
          <w:rFonts w:ascii="Arial" w:hAnsi="Arial" w:cs="Arial"/>
          <w:i/>
          <w:iCs/>
          <w:sz w:val="24"/>
          <w:szCs w:val="24"/>
        </w:rPr>
        <w:t>Sociedade anônima. Responsabilidade de diretores</w:t>
      </w:r>
      <w:r w:rsidRPr="0017039D">
        <w:rPr>
          <w:rFonts w:ascii="Arial" w:hAnsi="Arial" w:cs="Arial"/>
          <w:sz w:val="24"/>
          <w:szCs w:val="24"/>
        </w:rPr>
        <w:t>. É possível a desconsideração da personalidade jurídica da sociedade anônima para proceder a execução contra o patrimônio dos seus diretores.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SOCIEDADE ANÔNIMA DE CAPITAL FECHADO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Tem sido reconhecida a responsabilidade pessoal dos acionistas, com desconsideração da personalidade jurídica, uma vez que a forma de administração se aproxima muito da empresa de responsabilidade limitada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Precedente: AIRR - 114800-41.2007.5.03.0049 , Rel</w:t>
      </w:r>
      <w:r w:rsidRPr="0017039D">
        <w:rPr>
          <w:rFonts w:ascii="Arial" w:hAnsi="Arial" w:cs="Arial"/>
          <w:sz w:val="24"/>
          <w:szCs w:val="24"/>
        </w:rPr>
        <w:t>atora Ministra: Dora Maria da Costa, Data de Julgamento: 19/03/2014, 8ª Turma, Data de Publicação: DEJT 21/03/2014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Fundamentos: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Foge à razoabilidade que os acionistas de S/A muitas vezes se livrem de qualquer responsabilidade trabalhista em razão, unicame</w:t>
      </w:r>
      <w:r w:rsidRPr="0017039D">
        <w:rPr>
          <w:rFonts w:ascii="Arial" w:hAnsi="Arial" w:cs="Arial"/>
          <w:sz w:val="24"/>
          <w:szCs w:val="24"/>
        </w:rPr>
        <w:t>nte, da figura societária escolhida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Código Civil de 2002 aproximou bastante o funcionamento da sociedade limitada ao da sociedade anônima de capital fechado, não havendo razão para as diferenciar no tocante à responsabilidade dos sócios e acionistas.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d</w:t>
      </w:r>
      <w:r w:rsidRPr="0017039D">
        <w:rPr>
          <w:rFonts w:ascii="Arial" w:hAnsi="Arial" w:cs="Arial"/>
          <w:sz w:val="24"/>
          <w:szCs w:val="24"/>
        </w:rPr>
        <w:t xml:space="preserve">efinição de uma sociedade ser de capital ou pessoal é casuística, devendo-se levar em conta as prerrogativas que cada sócio tem no quadro social, os seus interesses e, sobretudo, como se concretiza a </w:t>
      </w:r>
      <w:r w:rsidRPr="0017039D">
        <w:rPr>
          <w:rFonts w:ascii="Arial" w:hAnsi="Arial" w:cs="Arial"/>
          <w:i/>
          <w:iCs/>
          <w:sz w:val="24"/>
          <w:szCs w:val="24"/>
        </w:rPr>
        <w:t>affectio societatis</w:t>
      </w:r>
      <w:r w:rsidRPr="0017039D">
        <w:rPr>
          <w:rFonts w:ascii="Arial" w:hAnsi="Arial" w:cs="Arial"/>
          <w:sz w:val="24"/>
          <w:szCs w:val="24"/>
        </w:rPr>
        <w:t>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Comparando a estrutura de determina</w:t>
      </w:r>
      <w:r w:rsidRPr="0017039D">
        <w:rPr>
          <w:rFonts w:ascii="Arial" w:hAnsi="Arial" w:cs="Arial"/>
          <w:sz w:val="24"/>
          <w:szCs w:val="24"/>
        </w:rPr>
        <w:t>da sociedade anônima fechada com outra do tipo limitada, pode-se concluir que os sócios têm papéis praticamente idênticos nas respectivas sociedades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Fábio Konder Comparato: "a velha classificação das sociedades mercantis em sociedade de capitais e de pesso</w:t>
      </w:r>
      <w:r w:rsidRPr="0017039D">
        <w:rPr>
          <w:rFonts w:ascii="Arial" w:hAnsi="Arial" w:cs="Arial"/>
          <w:sz w:val="24"/>
          <w:szCs w:val="24"/>
        </w:rPr>
        <w:t>as, aparece agora subvertida; [...] Se ainda é aceitável classificar a companhia aberta na categoria das sociedades de capitais, pelo seu caráter marcadamente institucional, a companhia fechada já apresenta todas as características de uma sociedade de pess</w:t>
      </w:r>
      <w:r w:rsidRPr="0017039D">
        <w:rPr>
          <w:rFonts w:ascii="Arial" w:hAnsi="Arial" w:cs="Arial"/>
          <w:sz w:val="24"/>
          <w:szCs w:val="24"/>
        </w:rPr>
        <w:t xml:space="preserve">oas, animada por uma 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affectio societatis </w:t>
      </w:r>
      <w:r w:rsidRPr="0017039D">
        <w:rPr>
          <w:rFonts w:ascii="Arial" w:hAnsi="Arial" w:cs="Arial"/>
          <w:sz w:val="24"/>
          <w:szCs w:val="24"/>
        </w:rPr>
        <w:t xml:space="preserve">que se funda no </w:t>
      </w:r>
      <w:r w:rsidRPr="0017039D">
        <w:rPr>
          <w:rFonts w:ascii="Arial" w:hAnsi="Arial" w:cs="Arial"/>
          <w:i/>
          <w:iCs/>
          <w:sz w:val="24"/>
          <w:szCs w:val="24"/>
        </w:rPr>
        <w:t>intuitu personae</w:t>
      </w:r>
      <w:r w:rsidRPr="0017039D">
        <w:rPr>
          <w:rFonts w:ascii="Arial" w:hAnsi="Arial" w:cs="Arial"/>
          <w:sz w:val="24"/>
          <w:szCs w:val="24"/>
        </w:rPr>
        <w:t>“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S/A familiar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DESCONSIDERAÇÃO INVERSA DA PERSONALIDADE JURÍDICA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Aplica-se a desconsideração da personalidade jurídica alcançando o sócio da pessoa jurídica executada e depoi</w:t>
      </w:r>
      <w:r w:rsidRPr="0017039D">
        <w:rPr>
          <w:rFonts w:ascii="Arial" w:hAnsi="Arial" w:cs="Arial"/>
          <w:sz w:val="24"/>
          <w:szCs w:val="24"/>
        </w:rPr>
        <w:t>s, por meio da desconsideração “inversa”, integra no polo passivo outra pessoa jurídica que tem um sócio comum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Para casos em que a pessoa jurídica é utilizada para esconder o patrimônio pessoal da executada, com intuito de frustrar a execução trabalhista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</w:t>
      </w:r>
      <w:r w:rsidRPr="0017039D">
        <w:rPr>
          <w:rFonts w:ascii="Arial" w:hAnsi="Arial" w:cs="Arial"/>
          <w:sz w:val="24"/>
          <w:szCs w:val="24"/>
        </w:rPr>
        <w:t>fasta-se o princípio da autonomia patrimonial da pessoa jurídica e responsabiliza-se a sociedade por obrigação pessoal do sócio.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Muito mais vantajoso que penhora de cotas sociais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TOMADOR DE SERVIÇOS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Precisa ter participado da relação jurídica desde a fase </w:t>
      </w:r>
      <w:r w:rsidRPr="0017039D">
        <w:rPr>
          <w:rFonts w:ascii="Arial" w:hAnsi="Arial" w:cs="Arial"/>
          <w:sz w:val="24"/>
          <w:szCs w:val="24"/>
        </w:rPr>
        <w:t>de conhecimento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Entendimento da Súmula 331, IV, do TST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7) FASE DE EXPROPRIAÇÃO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ATOS DE ALIENAÇÃO: PRAÇA E LEILÃO.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ADJUDICAÇÃO E REMIÇÃO.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SUSPENSÃO DO PROCESSO QUANDO INEXISTENTES BENS DO EXECUTADO.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EMBARGOS À ARREMATAÇÃO E À ADJUDICAÇÃO. 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EMBARGOS DE </w:t>
      </w:r>
      <w:r w:rsidRPr="0017039D">
        <w:rPr>
          <w:rFonts w:ascii="Arial" w:hAnsi="Arial" w:cs="Arial"/>
          <w:sz w:val="24"/>
          <w:szCs w:val="24"/>
        </w:rPr>
        <w:t>TERCEIRO.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Expropriação forçada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faculdade de dispor dos bens constritos é retirada do particular, e transferida ao Estado-Juiz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Ato de império do Estado-Juiz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Meios de expropriação (CPC):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Adjudicação em favor do exequente </w:t>
      </w:r>
      <w:r w:rsidRPr="0017039D">
        <w:rPr>
          <w:rFonts w:ascii="Arial" w:hAnsi="Arial" w:cs="Arial"/>
          <w:sz w:val="24"/>
          <w:szCs w:val="24"/>
        </w:rPr>
        <w:t>ou das pessoas indicadas no §2º do art. 685-A do CPC (credor com garantia real; credor concorrente que penhorou o mesmo bem; cônjuge, descendente ou ascendente do executado)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Alienação por iniciativa particular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Alienação em hasta pública</w:t>
      </w:r>
    </w:p>
    <w:p w:rsidR="002E707F" w:rsidRPr="0017039D" w:rsidRDefault="007C336F" w:rsidP="0017039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Adjudicação</w:t>
      </w:r>
    </w:p>
    <w:p w:rsidR="002E707F" w:rsidRPr="0017039D" w:rsidRDefault="007C336F" w:rsidP="0017039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ANTES D</w:t>
      </w:r>
      <w:r w:rsidRPr="0017039D">
        <w:rPr>
          <w:rFonts w:ascii="Arial" w:hAnsi="Arial" w:cs="Arial"/>
          <w:b/>
          <w:bCs/>
          <w:sz w:val="24"/>
          <w:szCs w:val="24"/>
        </w:rPr>
        <w:t>A PRAÇA:</w:t>
      </w:r>
    </w:p>
    <w:p w:rsidR="002E707F" w:rsidRPr="0017039D" w:rsidRDefault="007C336F" w:rsidP="0017039D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Primeira modalidade de alienação coativa - art. 685-A do CPC. </w:t>
      </w:r>
    </w:p>
    <w:p w:rsidR="002E707F" w:rsidRPr="0017039D" w:rsidRDefault="007C336F" w:rsidP="0017039D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Controvérsia quanto à sua aplicabilidade no processo do trabalho</w:t>
      </w:r>
    </w:p>
    <w:p w:rsidR="002E707F" w:rsidRPr="0017039D" w:rsidRDefault="007C336F" w:rsidP="0017039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APÓS FINDA A PRAÇA</w:t>
      </w:r>
    </w:p>
    <w:p w:rsidR="002E707F" w:rsidRPr="0017039D" w:rsidRDefault="007C336F" w:rsidP="0017039D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Ato judicial que transfere ao patrimônio do credor, a seu requerimento e de modo coativo, bens penho</w:t>
      </w:r>
      <w:r w:rsidRPr="0017039D">
        <w:rPr>
          <w:rFonts w:ascii="Arial" w:hAnsi="Arial" w:cs="Arial"/>
          <w:sz w:val="24"/>
          <w:szCs w:val="24"/>
        </w:rPr>
        <w:t>rados ao devedor e que já tenham sido levados à hasta pública.</w:t>
      </w:r>
    </w:p>
    <w:p w:rsidR="002E707F" w:rsidRPr="0017039D" w:rsidRDefault="007C336F" w:rsidP="0017039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Valor da adjudicação</w:t>
      </w:r>
    </w:p>
    <w:p w:rsidR="002E707F" w:rsidRPr="0017039D" w:rsidRDefault="007C336F" w:rsidP="0017039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Antes da praça</w:t>
      </w:r>
      <w:r w:rsidRPr="0017039D">
        <w:rPr>
          <w:rFonts w:ascii="Arial" w:hAnsi="Arial" w:cs="Arial"/>
          <w:sz w:val="24"/>
          <w:szCs w:val="24"/>
        </w:rPr>
        <w:t>: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Valor mínimo da avaliação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Pode existir concorrência entre os co-legitimados</w:t>
      </w:r>
    </w:p>
    <w:p w:rsidR="002E707F" w:rsidRPr="0017039D" w:rsidRDefault="007C336F" w:rsidP="0017039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Após a praça</w:t>
      </w:r>
      <w:r w:rsidRPr="0017039D">
        <w:rPr>
          <w:rFonts w:ascii="Arial" w:hAnsi="Arial" w:cs="Arial"/>
          <w:sz w:val="24"/>
          <w:szCs w:val="24"/>
        </w:rPr>
        <w:t>: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não houve licitantes na praça, pelo valor da avaliação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houve licitante, pelo melhor lanço, com preferência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há necessidade de exibir o preço, até o valor do crédito</w:t>
      </w:r>
    </w:p>
    <w:p w:rsidR="002E707F" w:rsidRPr="0017039D" w:rsidRDefault="007C336F" w:rsidP="0017039D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Prazo: antes da assinatura do auto de arrematação</w:t>
      </w:r>
    </w:p>
    <w:p w:rsidR="002E707F" w:rsidRPr="0017039D" w:rsidRDefault="007C336F" w:rsidP="0017039D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Alienação por iniciativa particular</w:t>
      </w:r>
    </w:p>
    <w:p w:rsidR="002E707F" w:rsidRPr="0017039D" w:rsidRDefault="007C336F" w:rsidP="0017039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Facultativa à adjudicação antecipada</w:t>
      </w:r>
    </w:p>
    <w:p w:rsidR="002E707F" w:rsidRPr="0017039D" w:rsidRDefault="007C336F" w:rsidP="0017039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 xml:space="preserve">A CLT só prevê a </w:t>
      </w:r>
      <w:r w:rsidRPr="0017039D">
        <w:rPr>
          <w:rFonts w:ascii="Arial" w:hAnsi="Arial" w:cs="Arial"/>
          <w:sz w:val="24"/>
          <w:szCs w:val="24"/>
        </w:rPr>
        <w:t>venda judicial</w:t>
      </w:r>
    </w:p>
    <w:p w:rsidR="002E707F" w:rsidRPr="0017039D" w:rsidRDefault="007C336F" w:rsidP="0017039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há menção na CLT à alienação por iniciativa particular, prevista no art. 685-C do CPC</w:t>
      </w:r>
    </w:p>
    <w:p w:rsidR="002E707F" w:rsidRPr="0017039D" w:rsidRDefault="007C336F" w:rsidP="0017039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Discute-se o cabimento - o art. 888 da CLT dispõe de forma expressa sobre praça ou leilão (judicial) precedida de edital</w:t>
      </w:r>
    </w:p>
    <w:p w:rsidR="002E707F" w:rsidRPr="0017039D" w:rsidRDefault="007C336F" w:rsidP="0017039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cada dia cresce a simpatia p</w:t>
      </w:r>
      <w:r w:rsidRPr="0017039D">
        <w:rPr>
          <w:rFonts w:ascii="Arial" w:hAnsi="Arial" w:cs="Arial"/>
          <w:sz w:val="24"/>
          <w:szCs w:val="24"/>
        </w:rPr>
        <w:t>or essa modalidade</w:t>
      </w:r>
    </w:p>
    <w:p w:rsidR="002E707F" w:rsidRPr="0017039D" w:rsidRDefault="007C336F" w:rsidP="0017039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Decisão TRT 9</w:t>
      </w:r>
    </w:p>
    <w:p w:rsidR="002E707F" w:rsidRPr="0017039D" w:rsidRDefault="007C336F" w:rsidP="0017039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ALIENAÇÃO POR INICIATIVA PARTICULAR. ARTIGO 685-C DO CPC. APLICABILIDADE SUBSIDIÁRIA AO PROCESSO DO TRABALHO. </w:t>
      </w:r>
      <w:r w:rsidRPr="0017039D">
        <w:rPr>
          <w:rFonts w:ascii="Arial" w:hAnsi="Arial" w:cs="Arial"/>
          <w:sz w:val="24"/>
          <w:szCs w:val="24"/>
        </w:rPr>
        <w:t>A legislação modernizou o procedimento de expropriação de bens penhorados ao inserir a possibilidade de o credor,</w:t>
      </w:r>
      <w:r w:rsidRPr="0017039D">
        <w:rPr>
          <w:rFonts w:ascii="Arial" w:hAnsi="Arial" w:cs="Arial"/>
          <w:sz w:val="24"/>
          <w:szCs w:val="24"/>
        </w:rPr>
        <w:t xml:space="preserve"> que não pretende adjudicar o bem para si, requerer, sob a supervisão do Juiz da causa, a alienação por iniciativa particular ou por intermédio de agentes credenciados (art. 685-C do CPC). Tendo em vista a lacuna normativa da CLT e a ausência de incompatib</w:t>
      </w:r>
      <w:r w:rsidRPr="0017039D">
        <w:rPr>
          <w:rFonts w:ascii="Arial" w:hAnsi="Arial" w:cs="Arial"/>
          <w:sz w:val="24"/>
          <w:szCs w:val="24"/>
        </w:rPr>
        <w:t>ilidade com o processo do trabalho, o artigo 685-C do CPC pode ser aplicado a esta Justiça Especializada.  (...) TRT-PR-00566-2004-322-09-00-6-ACO-20683-2011 - SEÇÃO ESPECIALIZADA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Procedimento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Alienação em hasta pública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Forma mais tradicional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Previsão </w:t>
      </w:r>
      <w:r w:rsidRPr="0017039D">
        <w:rPr>
          <w:rFonts w:ascii="Arial" w:hAnsi="Arial" w:cs="Arial"/>
          <w:sz w:val="24"/>
          <w:szCs w:val="24"/>
        </w:rPr>
        <w:t>expressa no art. 888 da CLT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Formal e demorada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Último mecanismo previsto no CPC atual</w:t>
      </w:r>
    </w:p>
    <w:p w:rsidR="002E707F" w:rsidRPr="0017039D" w:rsidRDefault="007C336F" w:rsidP="0017039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Hasta pública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Precedida de edital público de alienação.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CLT não faz diferença entre praça e leilão (doutrina: praça no fórum; leilão em outro local)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Praça única. </w:t>
      </w:r>
      <w:r w:rsidRPr="0017039D">
        <w:rPr>
          <w:rFonts w:ascii="Arial" w:hAnsi="Arial" w:cs="Arial"/>
          <w:sz w:val="24"/>
          <w:szCs w:val="24"/>
        </w:rPr>
        <w:t>Arrematação deferida a quem ofertar o maior lanço, mesmo que não atinja o valor da avaliação (Lei 5.584/70)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Pagamento em dinheiro, garantido o lanço com sinal, no ato, correspondente a 20% do valor, e completada em 24 horas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Editais tem previsto possibilida</w:t>
      </w:r>
      <w:r w:rsidRPr="0017039D">
        <w:rPr>
          <w:rFonts w:ascii="Arial" w:hAnsi="Arial" w:cs="Arial"/>
          <w:sz w:val="24"/>
          <w:szCs w:val="24"/>
        </w:rPr>
        <w:t>de de parcelamento do bem imóvel, mediante caução do próprio imóvel – art. 690, §1º, CPC</w:t>
      </w:r>
    </w:p>
    <w:p w:rsidR="002E707F" w:rsidRPr="0017039D" w:rsidRDefault="007C336F" w:rsidP="0017039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 credor pode arrematar, participando da praça, e não é obrigado a exibir o preço; se o preço exceder seu crédito deve depositar a diferença em três dias (art. 690-A, </w:t>
      </w:r>
      <w:r w:rsidRPr="0017039D">
        <w:rPr>
          <w:rFonts w:ascii="Arial" w:hAnsi="Arial" w:cs="Arial"/>
          <w:sz w:val="24"/>
          <w:szCs w:val="24"/>
        </w:rPr>
        <w:t xml:space="preserve">parágrafo único, do CPC).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Efetivação da Alienação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Expedição de auto para assinatura pelo juiz: depois disso, perfeita e acabada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Após decorrido o prazo para embargos, lavratura de carta (se imóvel) ou expedição de mandado de entrega (se móvel)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Decisão homo</w:t>
      </w:r>
      <w:r w:rsidRPr="0017039D">
        <w:rPr>
          <w:rFonts w:ascii="Arial" w:hAnsi="Arial" w:cs="Arial"/>
          <w:sz w:val="24"/>
          <w:szCs w:val="24"/>
        </w:rPr>
        <w:t>logatória: não cabe rescisória, mas ação anulatória ou declaratória de nulidade (art. 486 do CPC)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Remição da execução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Significado: resgate dos bens penhorados pelo executado com pagamento do valor devido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13 da Lei 5.584/70: apenas se oferecido pelo e</w:t>
      </w:r>
      <w:r w:rsidRPr="0017039D">
        <w:rPr>
          <w:rFonts w:ascii="Arial" w:hAnsi="Arial" w:cs="Arial"/>
          <w:sz w:val="24"/>
          <w:szCs w:val="24"/>
        </w:rPr>
        <w:t>xecutado o valor total da condenação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Prazo: antes da assinatura do auto (art. 651 do CPC)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Prefere à adjudicação e à arrematação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Remição do bem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Antigamente previsto no art. 787 do CPC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Cônjuge, descendente ou ascendente do devedor para salvar determinado bem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Substituição pela adjudicação (art. 685-A, §2º, do CPC)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SUSPENSÃO DO PROCESSO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 falta de bens do devedor, como proceder?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Quando não forem localizados bens do devedor (art. 40, caput, da Lei 6830). Procedimento: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suspende-se inicialmente por um ano;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</w:t>
      </w:r>
      <w:r w:rsidRPr="0017039D">
        <w:rPr>
          <w:rFonts w:ascii="Arial" w:hAnsi="Arial" w:cs="Arial"/>
          <w:sz w:val="24"/>
          <w:szCs w:val="24"/>
        </w:rPr>
        <w:t xml:space="preserve"> corre prazo prescricional no período de suspensão de um ano;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após um ano, os autos são arquivados provisoriamente, e desarquivados a qualquer tempo para prosseguimento, quando localizados os bens ou o devedor;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corre prescrição intercorrente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EMBARGOS À</w:t>
      </w:r>
      <w:r w:rsidRPr="0017039D">
        <w:rPr>
          <w:rFonts w:ascii="Arial" w:hAnsi="Arial" w:cs="Arial"/>
          <w:sz w:val="24"/>
          <w:szCs w:val="24"/>
        </w:rPr>
        <w:t xml:space="preserve"> EXPROPRIAÇÃO (arrematação ou adjudicação)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Constituem o meio do devedor opor-se à arrematação e adjudicação já deferidas, tentando as desconstituir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Legitimidade para propositura:</w:t>
      </w:r>
      <w:r w:rsidRPr="001703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17039D">
        <w:rPr>
          <w:rFonts w:ascii="Arial" w:hAnsi="Arial" w:cs="Arial"/>
          <w:sz w:val="24"/>
          <w:szCs w:val="24"/>
        </w:rPr>
        <w:t>o devedor, seu espólio, herdeiros e sucessores, novo devedor ou fiador judici</w:t>
      </w:r>
      <w:r w:rsidRPr="0017039D">
        <w:rPr>
          <w:rFonts w:ascii="Arial" w:hAnsi="Arial" w:cs="Arial"/>
          <w:sz w:val="24"/>
          <w:szCs w:val="24"/>
        </w:rPr>
        <w:t xml:space="preserve">al.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Natureza jurídica: ação com natureza constitutiva.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Deve concernir a fato superveniente à penhora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Competência para julgamento: do juízo da execução.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Em execução por carta, em regra o juízo deprecante, exceto se o ato atacado foi exclusivamente do juíz</w:t>
      </w:r>
      <w:r w:rsidRPr="0017039D">
        <w:rPr>
          <w:rFonts w:ascii="Arial" w:hAnsi="Arial" w:cs="Arial"/>
          <w:sz w:val="24"/>
          <w:szCs w:val="24"/>
        </w:rPr>
        <w:t>o deprecado, como em caso de vício de edital de leilão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Prazo</w:t>
      </w:r>
      <w:r w:rsidRPr="0017039D">
        <w:rPr>
          <w:rFonts w:ascii="Arial" w:hAnsi="Arial" w:cs="Arial"/>
          <w:sz w:val="24"/>
          <w:szCs w:val="24"/>
        </w:rPr>
        <w:t xml:space="preserve">: cinco dias, contados da data em que for assinado o auto de arrematação ou de adjudicação, desde que a respectiva carta ainda não tenha sido assinada.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Antes da assinatura do auto não existe expr</w:t>
      </w:r>
      <w:r w:rsidRPr="0017039D">
        <w:rPr>
          <w:rFonts w:ascii="Arial" w:hAnsi="Arial" w:cs="Arial"/>
          <w:sz w:val="24"/>
          <w:szCs w:val="24"/>
        </w:rPr>
        <w:t>opriação – ainda não foi deferida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 prazo para impugnação aos embargos, pelo credor, é de 5 dias, também.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OJ – SE - EX - 03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VIII</w:t>
      </w:r>
      <w:r w:rsidRPr="0017039D">
        <w:rPr>
          <w:rFonts w:ascii="Arial" w:hAnsi="Arial" w:cs="Arial"/>
          <w:sz w:val="24"/>
          <w:szCs w:val="24"/>
        </w:rPr>
        <w:t xml:space="preserve"> - Embargos à arrematação. Prazo. Marco Inicial. Intimação do executado. O prazo para oposição de embargos à arrematação é de cinco dias contados da assinatura do respectivo auto, que deverá ocorrer no dia da arrematação. Ultrapassada essa data, sem que o </w:t>
      </w:r>
      <w:r w:rsidRPr="0017039D">
        <w:rPr>
          <w:rFonts w:ascii="Arial" w:hAnsi="Arial" w:cs="Arial"/>
          <w:sz w:val="24"/>
          <w:szCs w:val="24"/>
        </w:rPr>
        <w:t xml:space="preserve">auto tenha sido assinado, caberá intimação das partes, a partir do que passará a fluir o prazo para oposição dos embargos à arrematação.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Matérias alegáveis, desde que estejam relacionados com fatos acontecidos após o julgamento da penhora: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(a) nulidade d</w:t>
      </w:r>
      <w:r w:rsidRPr="0017039D">
        <w:rPr>
          <w:rFonts w:ascii="Arial" w:hAnsi="Arial" w:cs="Arial"/>
          <w:sz w:val="24"/>
          <w:szCs w:val="24"/>
        </w:rPr>
        <w:t xml:space="preserve">a execução;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(b) pagamento do valor cobrado;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(c) novação da dívida;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(d) transação;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(e) prescrição extintiva.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(f) impugnação ao preço deferido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Efeitos da interposição: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Suspensão dos demais atos que deveriam ser praticados na sequência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Possibilitam a desistência do arrematante, que deve ser intimado para esse fim (direito potestativo). Visa estimular o lanço.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Efeito preclusivo da desistência (?)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Enunciado 31 – Jornada de Execução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DESISTÊNCIA DA ARREMATAÇÃO. APLICAÇÃO DO ART. 694, INCISO 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IV, DO </w:t>
      </w:r>
      <w:r w:rsidRPr="0017039D">
        <w:rPr>
          <w:rFonts w:ascii="Arial" w:hAnsi="Arial" w:cs="Arial"/>
          <w:sz w:val="24"/>
          <w:szCs w:val="24"/>
        </w:rPr>
        <w:t>CÓDIGO DE PROCESSO CIVIL (CPC). COMPATIBILIDADE. OPOSIÇÃO DE EMBARGOS PELO DEVEDOR. CIÊNCIA AO ARREMATANTE PARA MANIFESTAR A DESISTÊNCIA DO LANÇO, SOB PENA DE PRECLUSÃO. Opostos embargos à expropriação, o arrematante deverá ser intimado para manifes</w:t>
      </w:r>
      <w:r w:rsidRPr="0017039D">
        <w:rPr>
          <w:rFonts w:ascii="Arial" w:hAnsi="Arial" w:cs="Arial"/>
          <w:sz w:val="24"/>
          <w:szCs w:val="24"/>
        </w:rPr>
        <w:t xml:space="preserve">tar eventual desistência da arrematação, sob pena de preclusão, conforme possibilitado pelo art. 694, inciso IV, do CPC, que guarda compatibilidade com o Processo do Trabalho.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Podem ser rejeitados liminarmente quando: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Intempestivos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Suscitarem matéria inca</w:t>
      </w:r>
      <w:r w:rsidRPr="0017039D">
        <w:rPr>
          <w:rFonts w:ascii="Arial" w:hAnsi="Arial" w:cs="Arial"/>
          <w:sz w:val="24"/>
          <w:szCs w:val="24"/>
        </w:rPr>
        <w:t>bível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Inicial inepta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Ilegitimidade de parte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Falta de interesse de agir, etc.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os embargos forem manifestamente protelatórios, o juiz imporá multa de 20% do valor da execução em favor de quem desistiu da aquisição, ainda que fosse o próprio exequente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o</w:t>
      </w:r>
      <w:r w:rsidRPr="0017039D">
        <w:rPr>
          <w:rFonts w:ascii="Arial" w:hAnsi="Arial" w:cs="Arial"/>
          <w:sz w:val="24"/>
          <w:szCs w:val="24"/>
        </w:rPr>
        <w:t xml:space="preserve"> arrematante não desistiu, não cabe a multa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Pelo que se vê, a desistência não prejudica o julgamento dos embargos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Publicada a sentença, intimação das partes e do arrematante, para fins de recurso (Agravo de Petição)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EMBARGOS DE TERCEIRO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Meio de defesa para</w:t>
      </w:r>
      <w:r w:rsidRPr="0017039D">
        <w:rPr>
          <w:rFonts w:ascii="Arial" w:hAnsi="Arial" w:cs="Arial"/>
          <w:sz w:val="24"/>
          <w:szCs w:val="24"/>
        </w:rPr>
        <w:t xml:space="preserve"> aquele que não é parte na execução e tem a posse de seus bens turbada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Definição de Terceiro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Terceiro, para fins de embargos, é a pessoa que, sendo ou não parte no processo de execução, defende bens que, em decorrência do título aquisitivo ou da qualidade </w:t>
      </w:r>
      <w:r w:rsidRPr="0017039D">
        <w:rPr>
          <w:rFonts w:ascii="Arial" w:hAnsi="Arial" w:cs="Arial"/>
          <w:sz w:val="24"/>
          <w:szCs w:val="24"/>
        </w:rPr>
        <w:t>que os possui, não podem ser objeto de apreensão judicial.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Terceiro não é apenas aquele que não integra a relação jurídica, para esse fim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se olha se o indivíduo está fora da relação jurídica: pode embargar mesmo se figurar no polo passivo, desde que vi</w:t>
      </w:r>
      <w:r w:rsidRPr="0017039D">
        <w:rPr>
          <w:rFonts w:ascii="Arial" w:hAnsi="Arial" w:cs="Arial"/>
          <w:sz w:val="24"/>
          <w:szCs w:val="24"/>
        </w:rPr>
        <w:t>se não se opor ao título executivo, mas liberar bens de indevida constrição judicial, com fundamento no titulo de aquisição ou qualidade pela qual detém a posse mencionada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Exemplo: penhora de bem que é arrendado ao devedor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Natureza jurídica: ação de tipo e</w:t>
      </w:r>
      <w:r w:rsidRPr="0017039D">
        <w:rPr>
          <w:rFonts w:ascii="Arial" w:hAnsi="Arial" w:cs="Arial"/>
          <w:sz w:val="24"/>
          <w:szCs w:val="24"/>
        </w:rPr>
        <w:t>special e de caráter incidental, com natureza possessória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Pressupostos: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Lesão da posse ou iminência de lesão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Ato molestador proveniente da jurisdição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Prazo para oposição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processo de conhecimento: a qualquer tempo, desde que antes do trânsito em julgado da sentença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Até cinco dias depois da arrematação, adjudicação ou remição, desde que ainda não tiver sido assinada a carta respectiva.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Legitimados para a propositura: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1. </w:t>
      </w:r>
      <w:r w:rsidRPr="0017039D">
        <w:rPr>
          <w:rFonts w:ascii="Arial" w:hAnsi="Arial" w:cs="Arial"/>
          <w:sz w:val="24"/>
          <w:szCs w:val="24"/>
        </w:rPr>
        <w:t>Quem, não sendo parte na relação processual executiva, sofrer turbação ou esbulho na posse de seus bens, decorrente de apreensão judicial;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Turbação: penhora, arresto, sequestro, depósito, etc.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2. Quem, embora figure no polo passivo da relação processual ex</w:t>
      </w:r>
      <w:r w:rsidRPr="0017039D">
        <w:rPr>
          <w:rFonts w:ascii="Arial" w:hAnsi="Arial" w:cs="Arial"/>
          <w:sz w:val="24"/>
          <w:szCs w:val="24"/>
        </w:rPr>
        <w:t>ecutiva, defenda bens que, pelo título de aquisição ou pela qualidade que os possuir, não podem ser atingidos pela apreensão judicial;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Ex: bem de família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3. O cônjuge, quando defende a posse de bens dotais, próprios, reservados ou de sua meação;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4. O credo</w:t>
      </w:r>
      <w:r w:rsidRPr="0017039D">
        <w:rPr>
          <w:rFonts w:ascii="Arial" w:hAnsi="Arial" w:cs="Arial"/>
          <w:sz w:val="24"/>
          <w:szCs w:val="24"/>
        </w:rPr>
        <w:t>r com garantia real, visando impedir a expropriação judicial dos bens dados em hipoteca, penhor ou anticrese (CPC, 1054, I a III).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Legitimado passivo</w:t>
      </w:r>
      <w:r w:rsidRPr="0017039D">
        <w:rPr>
          <w:rFonts w:ascii="Arial" w:hAnsi="Arial" w:cs="Arial"/>
          <w:sz w:val="24"/>
          <w:szCs w:val="24"/>
        </w:rPr>
        <w:t>: credor; eventualmente o devedor como litisconsorte, se indicou os bens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Competência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Do juízo que ordenou a</w:t>
      </w:r>
      <w:r w:rsidRPr="0017039D">
        <w:rPr>
          <w:rFonts w:ascii="Arial" w:hAnsi="Arial" w:cs="Arial"/>
          <w:sz w:val="24"/>
          <w:szCs w:val="24"/>
        </w:rPr>
        <w:t xml:space="preserve"> apreensão dos bens.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 execução por carta: competência do juízo deprecado, exceto se o bem tiver sido indicado pelo juízo deprecante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distribuição se dá por dependência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Súmula 419 do TST: Na execução por carta precatória, os embargos de terceiro serão of</w:t>
      </w:r>
      <w:r w:rsidRPr="0017039D">
        <w:rPr>
          <w:rFonts w:ascii="Arial" w:hAnsi="Arial" w:cs="Arial"/>
          <w:sz w:val="24"/>
          <w:szCs w:val="24"/>
        </w:rPr>
        <w:t>erecidos no juízo deprecante ou no juízo deprecado, mas a competência para julgá-los é do juí-zo deprecante, salvo se versarem, unicamente, sobre vícios ou irregularidades da penhora, avaliação ou alienação dos bens, praticados pelo juízo deprecado, em que</w:t>
      </w:r>
      <w:r w:rsidRPr="0017039D">
        <w:rPr>
          <w:rFonts w:ascii="Arial" w:hAnsi="Arial" w:cs="Arial"/>
          <w:sz w:val="24"/>
          <w:szCs w:val="24"/>
        </w:rPr>
        <w:t xml:space="preserve"> a competência será deste último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Efeito imediato do recebimento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Suspensão da execução, se versarem sobre a totalidade dos bens apreendidos judicialmente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Manutenção do embargante na posse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Torna os bens litigiosos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Procedimento: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(a) oposição através de peti</w:t>
      </w:r>
      <w:r w:rsidRPr="0017039D">
        <w:rPr>
          <w:rFonts w:ascii="Arial" w:hAnsi="Arial" w:cs="Arial"/>
          <w:sz w:val="24"/>
          <w:szCs w:val="24"/>
        </w:rPr>
        <w:t>ção inicial apta que é distribuída por dependência ao mesmo juiz onde corre a execução;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(b) os embargos correm em autos apartados;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(c) a petição inicial deve ser instruída com prova sumária (documental ou mediante justificação prévia):</w:t>
      </w:r>
    </w:p>
    <w:p w:rsidR="002E707F" w:rsidRPr="0017039D" w:rsidRDefault="007C336F" w:rsidP="0017039D">
      <w:pPr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da posse, </w:t>
      </w:r>
    </w:p>
    <w:p w:rsidR="002E707F" w:rsidRPr="0017039D" w:rsidRDefault="007C336F" w:rsidP="0017039D">
      <w:pPr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da</w:t>
      </w:r>
      <w:r w:rsidRPr="0017039D">
        <w:rPr>
          <w:rFonts w:ascii="Arial" w:hAnsi="Arial" w:cs="Arial"/>
          <w:sz w:val="24"/>
          <w:szCs w:val="24"/>
        </w:rPr>
        <w:t xml:space="preserve"> qualidade de terceiro e </w:t>
      </w:r>
    </w:p>
    <w:p w:rsidR="002E707F" w:rsidRPr="0017039D" w:rsidRDefault="007C336F" w:rsidP="0017039D">
      <w:pPr>
        <w:numPr>
          <w:ilvl w:val="2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da apreensão judicial;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(d) sofrem análise liminar, e se forem admitidos acarretam a suspensão da execução nos autos principais, até a decisão final dos embargos, quanto aos bens objeto dos embargos de terceiro; se o embargante fo</w:t>
      </w:r>
      <w:r w:rsidRPr="0017039D">
        <w:rPr>
          <w:rFonts w:ascii="Arial" w:hAnsi="Arial" w:cs="Arial"/>
          <w:sz w:val="24"/>
          <w:szCs w:val="24"/>
        </w:rPr>
        <w:t>r restituído na posse, deve-se determinar que preste caução idônea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(e) o embargado (credor nos autos principais) é intimado para apresentar defesa no prazo de dez dias; a falta de defesa acarreta a revelia e confissão; pode alegar fraude à execução, mas nã</w:t>
      </w:r>
      <w:r w:rsidRPr="0017039D">
        <w:rPr>
          <w:rFonts w:ascii="Arial" w:hAnsi="Arial" w:cs="Arial"/>
          <w:sz w:val="24"/>
          <w:szCs w:val="24"/>
        </w:rPr>
        <w:t>o fraude contra credores, que depende de ação própria (STJ, Súmula 195)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(f) segue-se a instrução do feito, se a matéria não for exclusivamente de direito ou a prova não for documental;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(g) profere-se a sentença;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(h) no prazo de oito dias cabe recurso (agra</w:t>
      </w:r>
      <w:r w:rsidRPr="0017039D">
        <w:rPr>
          <w:rFonts w:ascii="Arial" w:hAnsi="Arial" w:cs="Arial"/>
          <w:sz w:val="24"/>
          <w:szCs w:val="24"/>
        </w:rPr>
        <w:t>vo de petição).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OJ 22 da SE-EX-TRT-9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Custas. </w:t>
      </w:r>
      <w:r w:rsidRPr="0017039D">
        <w:rPr>
          <w:rFonts w:ascii="Arial" w:hAnsi="Arial" w:cs="Arial"/>
          <w:sz w:val="24"/>
          <w:szCs w:val="24"/>
        </w:rPr>
        <w:t>As custas nos embargos de terceiro devem ser cobradas pelo valor constante no art. 789-A, V, da CLT, pagas ao final. (Não são calculadas sobre o valor da causa; valor atual: R$ 44,26)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II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>Depósito recursal.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17039D">
        <w:rPr>
          <w:rFonts w:ascii="Arial" w:hAnsi="Arial" w:cs="Arial"/>
          <w:sz w:val="24"/>
          <w:szCs w:val="24"/>
        </w:rPr>
        <w:t>O depósito recursal de que trata o artigo 899, § 1º, da CLT não é exigível no agravo de petição interposto em embargos de terceiro, pois o terceiro embargante não está obrigado à garantia do juízo.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III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Prazo para ajuizamento. </w:t>
      </w:r>
      <w:r w:rsidRPr="0017039D">
        <w:rPr>
          <w:rFonts w:ascii="Arial" w:hAnsi="Arial" w:cs="Arial"/>
          <w:sz w:val="24"/>
          <w:szCs w:val="24"/>
        </w:rPr>
        <w:t>Os embargos de terceiro, na execução, podem ser opostos a qualquer tempo, com termo final em 5 dias contados da arrematação, adjudicação ou remição, desde que antes da assinatura da respectiva carta. O prazo não está condicionado à data em que o interessad</w:t>
      </w:r>
      <w:r w:rsidRPr="0017039D">
        <w:rPr>
          <w:rFonts w:ascii="Arial" w:hAnsi="Arial" w:cs="Arial"/>
          <w:sz w:val="24"/>
          <w:szCs w:val="24"/>
        </w:rPr>
        <w:t>o tomou conhecimento da apreensão ou do ato expropriatório.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IV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Valor da causa. </w:t>
      </w:r>
      <w:r w:rsidRPr="0017039D">
        <w:rPr>
          <w:rFonts w:ascii="Arial" w:hAnsi="Arial" w:cs="Arial"/>
          <w:sz w:val="24"/>
          <w:szCs w:val="24"/>
        </w:rPr>
        <w:t>O valor da causa em embargos de terceiro deve ser fixado de acordo com o valor do bem constrito, exceto se a execução for inferior a este valor, quando será fixado sobre o val</w:t>
      </w:r>
      <w:r w:rsidRPr="0017039D">
        <w:rPr>
          <w:rFonts w:ascii="Arial" w:hAnsi="Arial" w:cs="Arial"/>
          <w:sz w:val="24"/>
          <w:szCs w:val="24"/>
        </w:rPr>
        <w:t xml:space="preserve">or da execução.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V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Documentos indispensáveis. </w:t>
      </w:r>
      <w:r w:rsidRPr="0017039D">
        <w:rPr>
          <w:rFonts w:ascii="Arial" w:hAnsi="Arial" w:cs="Arial"/>
          <w:sz w:val="24"/>
          <w:szCs w:val="24"/>
        </w:rPr>
        <w:t>Art. 284 do CPC. Não apresentados documentos indispensáveis com a petição inicial dos embargos de terceiro, deve-se determinar a sua emenda, nos termos do art. 284 do CPC, sob pena de indeferimento da petição</w:t>
      </w:r>
      <w:r w:rsidRPr="0017039D">
        <w:rPr>
          <w:rFonts w:ascii="Arial" w:hAnsi="Arial" w:cs="Arial"/>
          <w:sz w:val="24"/>
          <w:szCs w:val="24"/>
        </w:rPr>
        <w:t xml:space="preserve"> inicial.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VI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Possibilidade de penhora. Preservação da meação de bem indivisível. </w:t>
      </w:r>
      <w:r w:rsidRPr="0017039D">
        <w:rPr>
          <w:rFonts w:ascii="Arial" w:hAnsi="Arial" w:cs="Arial"/>
          <w:sz w:val="24"/>
          <w:szCs w:val="24"/>
        </w:rPr>
        <w:t>A necessidade de se preservar o direito do cônjuge à meação não inviabiliza a penhora sobre determinado bem, uma vez que do produto da arrematação ou adjudicação separa-se o</w:t>
      </w:r>
      <w:r w:rsidRPr="0017039D">
        <w:rPr>
          <w:rFonts w:ascii="Arial" w:hAnsi="Arial" w:cs="Arial"/>
          <w:sz w:val="24"/>
          <w:szCs w:val="24"/>
        </w:rPr>
        <w:t xml:space="preserve"> valor correspondente ao limite da meação.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VII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Preservação da meação. Prova do favorecimento do cônjuge. </w:t>
      </w:r>
      <w:r w:rsidRPr="0017039D">
        <w:rPr>
          <w:rFonts w:ascii="Arial" w:hAnsi="Arial" w:cs="Arial"/>
          <w:sz w:val="24"/>
          <w:szCs w:val="24"/>
        </w:rPr>
        <w:t>Ausente prova em contrário, presume-se que o cônjuge não se beneficiou da atividade comercial desenvolvida pelo executado, quando, então, deve-se pr</w:t>
      </w:r>
      <w:r w:rsidRPr="0017039D">
        <w:rPr>
          <w:rFonts w:ascii="Arial" w:hAnsi="Arial" w:cs="Arial"/>
          <w:sz w:val="24"/>
          <w:szCs w:val="24"/>
        </w:rPr>
        <w:t xml:space="preserve">oteger a meação.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VIII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Contrato de compra e venda sem registro. </w:t>
      </w:r>
      <w:r w:rsidRPr="0017039D">
        <w:rPr>
          <w:rFonts w:ascii="Arial" w:hAnsi="Arial" w:cs="Arial"/>
          <w:sz w:val="24"/>
          <w:szCs w:val="24"/>
        </w:rPr>
        <w:t>Considera-se válida a transmissão de propriedade mediante compromisso de compra e venda desprovido de registro, se comprovada a respectiva quitação e se à época inexistia demanda capaz de re</w:t>
      </w:r>
      <w:r w:rsidRPr="0017039D">
        <w:rPr>
          <w:rFonts w:ascii="Arial" w:hAnsi="Arial" w:cs="Arial"/>
          <w:sz w:val="24"/>
          <w:szCs w:val="24"/>
        </w:rPr>
        <w:t xml:space="preserve">duzir o alienante à insolvência, o que obsta a constrição judicial.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IX – 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 xml:space="preserve">Legitimidade do sócio. </w:t>
      </w:r>
      <w:r w:rsidRPr="0017039D">
        <w:rPr>
          <w:rFonts w:ascii="Arial" w:hAnsi="Arial" w:cs="Arial"/>
          <w:sz w:val="24"/>
          <w:szCs w:val="24"/>
        </w:rPr>
        <w:t>O sócio que não figurou no título executivo judicial tem legitimidade para ajuizar embargos de terceiro, ainda que citado como sócio do devedor. No mérito se d</w:t>
      </w:r>
      <w:r w:rsidRPr="0017039D">
        <w:rPr>
          <w:rFonts w:ascii="Arial" w:hAnsi="Arial" w:cs="Arial"/>
          <w:sz w:val="24"/>
          <w:szCs w:val="24"/>
        </w:rPr>
        <w:t xml:space="preserve">ecidirá sua real condição (de terceiro ou de executado).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Jornada Nacional de Execução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lastRenderedPageBreak/>
        <w:t xml:space="preserve">42. EMBARGOS DE TERCEIRO. PRAZO PARA AJUIZAMENTO. I - Os embargos de terceiro </w:t>
      </w:r>
      <w:r w:rsidRPr="0017039D">
        <w:rPr>
          <w:rFonts w:ascii="Arial" w:hAnsi="Arial" w:cs="Arial"/>
          <w:sz w:val="24"/>
          <w:szCs w:val="24"/>
        </w:rPr>
        <w:t>podem ser opostos a qualquer tempo, com termo final em 5 (cinco) dias contados da arremataç</w:t>
      </w:r>
      <w:r w:rsidRPr="0017039D">
        <w:rPr>
          <w:rFonts w:ascii="Arial" w:hAnsi="Arial" w:cs="Arial"/>
          <w:sz w:val="24"/>
          <w:szCs w:val="24"/>
        </w:rPr>
        <w:t>ão, adjudicação ou remição, desde que antes da assinatura da respectiva carta. II - O conhecimento posterior da apreensão ou do ato expropriatório não enseja a oposição de embargos de terceiro, cabendo eventual ação anulatória, de competência da Justiça do</w:t>
      </w:r>
      <w:r w:rsidRPr="0017039D">
        <w:rPr>
          <w:rFonts w:ascii="Arial" w:hAnsi="Arial" w:cs="Arial"/>
          <w:sz w:val="24"/>
          <w:szCs w:val="24"/>
        </w:rPr>
        <w:t xml:space="preserve"> Trabalho.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8. EXECUÇÃO CONTRA A FAZENDA PÚBLICA.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Execução mediante Precatório/OPV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SIM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União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Estados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Distrito Federal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Municípios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Autarquias públicas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Fundações públicas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Correios (DL 509/69)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Empresas públicas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Sociedades de economia mista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Sistema S </w:t>
      </w:r>
      <w:r w:rsidRPr="0017039D">
        <w:rPr>
          <w:rFonts w:ascii="Arial" w:hAnsi="Arial" w:cs="Arial"/>
          <w:sz w:val="24"/>
          <w:szCs w:val="24"/>
        </w:rPr>
        <w:t>(entes de cooperação)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Conselhos profissionais (autarquias atípicas)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Concessionárias ou permissionárias de serviços públicos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JUSTIFICATIVAS PARA TRATAMENTO DIFERENCIADO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Princípios: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Impenhorabilidade e inalienabilidade dos bens públicos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Universalidade orçamentária (art. 165, §§2º e 5º, CF - LDO)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DIFERENÇA NO PROCEDIMENTO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PARTICULAR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FAZENDA PÚBLICA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Citação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Forma do art. 12 do CPC: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União e Estados: na pessoa de seu procurador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Município: procurador ou prefeito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Demais: diretor, presidente ou </w:t>
      </w:r>
      <w:r w:rsidRPr="0017039D">
        <w:rPr>
          <w:rFonts w:ascii="Arial" w:hAnsi="Arial" w:cs="Arial"/>
          <w:sz w:val="24"/>
          <w:szCs w:val="24"/>
        </w:rPr>
        <w:t>procurador com poderes para receber citação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Sentença de embargos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cabe remessa de ofício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Prazo em dobro para recorrer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Depois de decididos os embargos são duas opções de prosseguimento: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Requisição de Pequeno Valor (RPV ou OPV)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Ofício Precatório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OFÍCIO </w:t>
      </w:r>
      <w:r w:rsidRPr="0017039D">
        <w:rPr>
          <w:rFonts w:ascii="Arial" w:hAnsi="Arial" w:cs="Arial"/>
          <w:sz w:val="24"/>
          <w:szCs w:val="24"/>
        </w:rPr>
        <w:t>PRECATÓRIO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Expressão empregada para indicar a requisição (carta) expedida pelo juiz da execução ao Presidente do Triunal, informando que a Fazenda Pública foi condenada a certo pagamento, a fim de que, por seu intermédio, se autorizem e se expeçam as neces</w:t>
      </w:r>
      <w:r w:rsidRPr="0017039D">
        <w:rPr>
          <w:rFonts w:ascii="Arial" w:hAnsi="Arial" w:cs="Arial"/>
          <w:sz w:val="24"/>
          <w:szCs w:val="24"/>
        </w:rPr>
        <w:t>sárias ordens de pagamento às respectivas repartições pagadoras (Plácido e Silva)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Tecnicamente, o juiz expede à fonte pagadora um ofício requisitório, uma determinação à Fazenda Pública para que inclua obrigatoriamente </w:t>
      </w:r>
      <w:r w:rsidRPr="0017039D">
        <w:rPr>
          <w:rFonts w:ascii="Arial" w:hAnsi="Arial" w:cs="Arial"/>
          <w:sz w:val="24"/>
          <w:szCs w:val="24"/>
        </w:rPr>
        <w:lastRenderedPageBreak/>
        <w:t>no projeto de orçamento anual os recu</w:t>
      </w:r>
      <w:r w:rsidRPr="0017039D">
        <w:rPr>
          <w:rFonts w:ascii="Arial" w:hAnsi="Arial" w:cs="Arial"/>
          <w:sz w:val="24"/>
          <w:szCs w:val="24"/>
        </w:rPr>
        <w:t>rsos suficientes para atender ao montante solicitado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FINALIDADES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1.  Que as pessoas de direito público respeitem a autoridade da coisa julgada, o que garante o princípio da autonomia dos três poderes;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2. Obediência ao princípio da impessoalidade, quando co</w:t>
      </w:r>
      <w:r w:rsidRPr="0017039D">
        <w:rPr>
          <w:rFonts w:ascii="Arial" w:hAnsi="Arial" w:cs="Arial"/>
          <w:sz w:val="24"/>
          <w:szCs w:val="24"/>
        </w:rPr>
        <w:t>nfere caráter de impessoalidade aos pedidos (evita advocacia administrativa)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3. Disciplina uma ordem cronológica, quando se obedece à ordem de requisição de pagamentos, tratando os credores com isonomia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Volume da dívida pública</w:t>
      </w:r>
      <w:r w:rsidRPr="0017039D">
        <w:rPr>
          <w:rFonts w:ascii="Arial" w:hAnsi="Arial" w:cs="Arial"/>
          <w:sz w:val="24"/>
          <w:szCs w:val="24"/>
        </w:rPr>
        <w:t>: um levantamento do Conselho</w:t>
      </w:r>
      <w:r w:rsidRPr="0017039D">
        <w:rPr>
          <w:rFonts w:ascii="Arial" w:hAnsi="Arial" w:cs="Arial"/>
          <w:sz w:val="24"/>
          <w:szCs w:val="24"/>
        </w:rPr>
        <w:t xml:space="preserve"> Nacional de Justiça apurou que em julho de 2012 as dívidas dos estados e municípios em precatórios somavam R$ 94,3 bilhões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art. 100 da CF (EC 62/09)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Caput</w:t>
      </w:r>
      <w:r w:rsidRPr="0017039D">
        <w:rPr>
          <w:rFonts w:ascii="Arial" w:hAnsi="Arial" w:cs="Arial"/>
          <w:sz w:val="24"/>
          <w:szCs w:val="24"/>
        </w:rPr>
        <w:t>: pagamentos na ordem cronológica de apresentação, proibidas designação de casos ou de pessoas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§1º:</w:t>
      </w:r>
      <w:r w:rsidRPr="0017039D">
        <w:rPr>
          <w:rFonts w:ascii="Arial" w:hAnsi="Arial" w:cs="Arial"/>
          <w:b/>
          <w:bCs/>
          <w:sz w:val="24"/>
          <w:szCs w:val="24"/>
          <w:u w:val="single"/>
        </w:rPr>
        <w:t xml:space="preserve"> Preferência</w:t>
      </w:r>
      <w:r w:rsidRPr="0017039D">
        <w:rPr>
          <w:rFonts w:ascii="Arial" w:hAnsi="Arial" w:cs="Arial"/>
          <w:sz w:val="24"/>
          <w:szCs w:val="24"/>
        </w:rPr>
        <w:t>: débitos de natureza alimentícia (salários, vencimentos, proventos, pensões, benefícios previdenciários, indenizações por morte ou invalidez, fundadas em responsabilidade civil), decorrentes de sentença judicial transitada em julgado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Súmula 14</w:t>
      </w:r>
      <w:r w:rsidRPr="0017039D">
        <w:rPr>
          <w:rFonts w:ascii="Arial" w:hAnsi="Arial" w:cs="Arial"/>
          <w:sz w:val="24"/>
          <w:szCs w:val="24"/>
        </w:rPr>
        <w:t xml:space="preserve">4 do STF: </w:t>
      </w:r>
      <w:r w:rsidRPr="0017039D">
        <w:rPr>
          <w:rFonts w:ascii="Arial" w:hAnsi="Arial" w:cs="Arial"/>
          <w:i/>
          <w:iCs/>
          <w:sz w:val="24"/>
          <w:szCs w:val="24"/>
        </w:rPr>
        <w:t>os créditos de natureza alimentícia gozam de preferência, desvinculados os precatórios da ordem cronológica dos créditos de natureza diversa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§2º: Superpreferência</w:t>
      </w:r>
      <w:r w:rsidRPr="0017039D">
        <w:rPr>
          <w:rFonts w:ascii="Arial" w:hAnsi="Arial" w:cs="Arial"/>
          <w:sz w:val="24"/>
          <w:szCs w:val="24"/>
        </w:rPr>
        <w:t>: maiores de 60 anos na data da expedição do precatório, portadores de doenças grave</w:t>
      </w:r>
      <w:r w:rsidRPr="0017039D">
        <w:rPr>
          <w:rFonts w:ascii="Arial" w:hAnsi="Arial" w:cs="Arial"/>
          <w:sz w:val="24"/>
          <w:szCs w:val="24"/>
        </w:rPr>
        <w:t>s (definidas em lei) até o triplo da OPV, admitido o fracionamento para essa finalidade (restante pago mediante ordem cronológica dos precatórios)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§5º - data limite para incluir no orçamento do ano seguinte</w:t>
      </w:r>
      <w:r w:rsidRPr="0017039D">
        <w:rPr>
          <w:rFonts w:ascii="Arial" w:hAnsi="Arial" w:cs="Arial"/>
          <w:sz w:val="24"/>
          <w:szCs w:val="24"/>
        </w:rPr>
        <w:t>: obrigatória a inclusão no orçamento do ano segui</w:t>
      </w:r>
      <w:r w:rsidRPr="0017039D">
        <w:rPr>
          <w:rFonts w:ascii="Arial" w:hAnsi="Arial" w:cs="Arial"/>
          <w:sz w:val="24"/>
          <w:szCs w:val="24"/>
        </w:rPr>
        <w:t>nte, caso o precatório tenha sido recebido até 1º de julho; pagamento até final do exercício do ano seguinte, com valor atualizado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§6º - forma de pagamento</w:t>
      </w:r>
      <w:r w:rsidRPr="0017039D">
        <w:rPr>
          <w:rFonts w:ascii="Arial" w:hAnsi="Arial" w:cs="Arial"/>
          <w:sz w:val="24"/>
          <w:szCs w:val="24"/>
        </w:rPr>
        <w:t>: os créditos são consignados diretamente ao Poder Judiciário, administrados pelo Presidente do Tribu</w:t>
      </w:r>
      <w:r w:rsidRPr="0017039D">
        <w:rPr>
          <w:rFonts w:ascii="Arial" w:hAnsi="Arial" w:cs="Arial"/>
          <w:sz w:val="24"/>
          <w:szCs w:val="24"/>
        </w:rPr>
        <w:t>nal que proferiu a sentença em execução; a ele cabe também autorizar o sequestro da quantia necessária, nos casos de preterimento do direito de precedência ou não alocação orçamentária do valor necessário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§7º - responsabilidade do administrador</w:t>
      </w:r>
      <w:r w:rsidRPr="0017039D">
        <w:rPr>
          <w:rFonts w:ascii="Arial" w:hAnsi="Arial" w:cs="Arial"/>
          <w:sz w:val="24"/>
          <w:szCs w:val="24"/>
        </w:rPr>
        <w:t>: o presiden</w:t>
      </w:r>
      <w:r w:rsidRPr="0017039D">
        <w:rPr>
          <w:rFonts w:ascii="Arial" w:hAnsi="Arial" w:cs="Arial"/>
          <w:sz w:val="24"/>
          <w:szCs w:val="24"/>
        </w:rPr>
        <w:t>te de tribunal que por ato comissivo ou omissivo retardar/tentar frustrar a liquidação regular do precatório incorrerá em crime de responsabilidade e responderá perante o CNJ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 xml:space="preserve">§8º - impossibilidade de expedição de precatórios fracionados e de precatório </w:t>
      </w:r>
      <w:r w:rsidRPr="0017039D">
        <w:rPr>
          <w:rFonts w:ascii="Arial" w:hAnsi="Arial" w:cs="Arial"/>
          <w:b/>
          <w:bCs/>
          <w:sz w:val="24"/>
          <w:szCs w:val="24"/>
          <w:u w:val="single"/>
        </w:rPr>
        <w:t>complementar</w:t>
      </w:r>
      <w:r w:rsidRPr="0017039D">
        <w:rPr>
          <w:rFonts w:ascii="Arial" w:hAnsi="Arial" w:cs="Arial"/>
          <w:sz w:val="24"/>
          <w:szCs w:val="24"/>
        </w:rPr>
        <w:t>: veda a expedição de precatório complementar ou suplementar e o fracionamento, repartição ou quebra do valor da execução para enquadramento da parcela como obrigação de pequeno valor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§9º - compensação de créditos da Fazenda</w:t>
      </w:r>
      <w:r w:rsidRPr="0017039D">
        <w:rPr>
          <w:rFonts w:ascii="Arial" w:hAnsi="Arial" w:cs="Arial"/>
          <w:sz w:val="24"/>
          <w:szCs w:val="24"/>
        </w:rPr>
        <w:t>: permite a compensa</w:t>
      </w:r>
      <w:r w:rsidRPr="0017039D">
        <w:rPr>
          <w:rFonts w:ascii="Arial" w:hAnsi="Arial" w:cs="Arial"/>
          <w:sz w:val="24"/>
          <w:szCs w:val="24"/>
        </w:rPr>
        <w:t>ção, na expedição do precatório, de débitos líquidos e certos, inscritos ou não em dívida ativa, junto à Fazenda devedora, incluindo parcelas vincendas de parcelamentos, ressalvados aqueles cuja execução esteja suspensa em razão de contestação administrati</w:t>
      </w:r>
      <w:r w:rsidRPr="0017039D">
        <w:rPr>
          <w:rFonts w:ascii="Arial" w:hAnsi="Arial" w:cs="Arial"/>
          <w:sz w:val="24"/>
          <w:szCs w:val="24"/>
        </w:rPr>
        <w:t>va ou judicial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§10 – estabelece prazo de 30 dias para a Fazenda informar os valores a compensar</w:t>
      </w:r>
      <w:r w:rsidRPr="0017039D">
        <w:rPr>
          <w:rFonts w:ascii="Arial" w:hAnsi="Arial" w:cs="Arial"/>
          <w:sz w:val="24"/>
          <w:szCs w:val="24"/>
        </w:rPr>
        <w:t>: para fins de compensação, a Fazenda deve informar, antes da expedição do precatório, em 30 dias, por solicitação do juízo, do valor que tem para abater, sob pe</w:t>
      </w:r>
      <w:r w:rsidRPr="0017039D">
        <w:rPr>
          <w:rFonts w:ascii="Arial" w:hAnsi="Arial" w:cs="Arial"/>
          <w:sz w:val="24"/>
          <w:szCs w:val="24"/>
        </w:rPr>
        <w:t>na de perder o direito ao abatimento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§12 - atualização do precatório</w:t>
      </w:r>
      <w:r w:rsidRPr="0017039D">
        <w:rPr>
          <w:rFonts w:ascii="Arial" w:hAnsi="Arial" w:cs="Arial"/>
          <w:sz w:val="24"/>
          <w:szCs w:val="24"/>
        </w:rPr>
        <w:t xml:space="preserve">: deve ser feita até o pagamento índice oficial de remuneração básica da caderneta de poupança e juros simples da caderneta de poupança, excluídos juros compensatórios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 xml:space="preserve">§§13 e 14 - cessão </w:t>
      </w:r>
      <w:r w:rsidRPr="0017039D">
        <w:rPr>
          <w:rFonts w:ascii="Arial" w:hAnsi="Arial" w:cs="Arial"/>
          <w:b/>
          <w:bCs/>
          <w:sz w:val="24"/>
          <w:szCs w:val="24"/>
          <w:u w:val="single"/>
        </w:rPr>
        <w:t>do crédito</w:t>
      </w:r>
      <w:r w:rsidRPr="0017039D">
        <w:rPr>
          <w:rFonts w:ascii="Arial" w:hAnsi="Arial" w:cs="Arial"/>
          <w:sz w:val="24"/>
          <w:szCs w:val="24"/>
        </w:rPr>
        <w:t>: é possível, mas perde o privilégio para pagamento e deve ser comunicada por petição ao tribunal de origem e à entidade devedora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  <w:u w:val="single"/>
        </w:rPr>
        <w:t>§15 – a PEC do Calote</w:t>
      </w:r>
      <w:r w:rsidRPr="0017039D">
        <w:rPr>
          <w:rFonts w:ascii="Arial" w:hAnsi="Arial" w:cs="Arial"/>
          <w:sz w:val="24"/>
          <w:szCs w:val="24"/>
        </w:rPr>
        <w:t>: permite que lei complementar estabeleça um regime especial de pagamento de créditos de precat</w:t>
      </w:r>
      <w:r w:rsidRPr="0017039D">
        <w:rPr>
          <w:rFonts w:ascii="Arial" w:hAnsi="Arial" w:cs="Arial"/>
          <w:sz w:val="24"/>
          <w:szCs w:val="24"/>
        </w:rPr>
        <w:t>órios dos Estados, DF e Municípios, dispondo sobre vinculações à receita corrente líquida e forma e prazo para liquidação; regulada provisoriamente no art. 97 da ADCT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97 do ADCT (EC 62/09):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Estabeleceu um regime especial de pagamento de precatórios</w:t>
      </w:r>
      <w:r w:rsidRPr="0017039D">
        <w:rPr>
          <w:rFonts w:ascii="Arial" w:hAnsi="Arial" w:cs="Arial"/>
          <w:sz w:val="24"/>
          <w:szCs w:val="24"/>
        </w:rPr>
        <w:t xml:space="preserve"> vencidos, inclusive os que viessem a ser emitidos na vigência desse regime especial, até a superveniência da lei mencionada no §15 do art. 100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Terceira moratória da Fazenda Pública: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Primeira: CF de 1988, art. 33 das ADCT, prazo de 08 anos para pagar os pr</w:t>
      </w:r>
      <w:r w:rsidRPr="0017039D">
        <w:rPr>
          <w:rFonts w:ascii="Arial" w:hAnsi="Arial" w:cs="Arial"/>
          <w:sz w:val="24"/>
          <w:szCs w:val="24"/>
        </w:rPr>
        <w:t>ecatórios vencidos, com possibilidade de emissão de títulos da dívida pública para esse fim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Segunda: EC 30/2000 – art. 78 das ADCT – para as ações ajuizadas até 31-12-99, prazo de dez anos; norma transitória que deixou de vigorar ao final de 2010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Terceira:</w:t>
      </w:r>
      <w:r w:rsidRPr="0017039D">
        <w:rPr>
          <w:rFonts w:ascii="Arial" w:hAnsi="Arial" w:cs="Arial"/>
          <w:sz w:val="24"/>
          <w:szCs w:val="24"/>
        </w:rPr>
        <w:t xml:space="preserve"> EC 62/09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“PEC DO CALOTE”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Opções do Poder Executivo: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A) Depositar uma quantia mínima por ano para pagamento dos precatórios: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Depósito em conta especial, mensalmente, de 1/12 de um valor percentual que vai de 1 a 2% sobre suas receitas correntes líquidas ap</w:t>
      </w:r>
      <w:r w:rsidRPr="0017039D">
        <w:rPr>
          <w:rFonts w:ascii="Arial" w:hAnsi="Arial" w:cs="Arial"/>
          <w:sz w:val="24"/>
          <w:szCs w:val="24"/>
        </w:rPr>
        <w:t>uradas no segundo mês anterior ao pagamento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Receita corrente líquida: soma das receitas tributárias, patrimoniais, industriais, agropecuárias, de contribuições e de serviços, transferências correntes e outras receitas correntes, verificadas no período comp</w:t>
      </w:r>
      <w:r w:rsidRPr="0017039D">
        <w:rPr>
          <w:rFonts w:ascii="Arial" w:hAnsi="Arial" w:cs="Arial"/>
          <w:sz w:val="24"/>
          <w:szCs w:val="24"/>
        </w:rPr>
        <w:t>reendido pelo mês de referência e nos 11 anteriores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B) Efetivar um regime especial pelo prazo de até 15 anos.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Nesse caso, faz os depósitos do valor total em conta especial, sendo pelo menos 50% do valor destinado para pagamento dos precatórios na ordem cr</w:t>
      </w:r>
      <w:r w:rsidRPr="0017039D">
        <w:rPr>
          <w:rFonts w:ascii="Arial" w:hAnsi="Arial" w:cs="Arial"/>
          <w:sz w:val="24"/>
          <w:szCs w:val="24"/>
        </w:rPr>
        <w:t>onológica, e o restando pode ser utilizado para leilões ou acordos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Opções: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Leilão de créditos, por meio de oferta pública para todos os credores, considerando como lanço o deságio oferecido, podendo ser oferecida a quitação por parcela do valor total, com </w:t>
      </w:r>
      <w:r w:rsidRPr="0017039D">
        <w:rPr>
          <w:rFonts w:ascii="Arial" w:hAnsi="Arial" w:cs="Arial"/>
          <w:sz w:val="24"/>
          <w:szCs w:val="24"/>
        </w:rPr>
        <w:t>quitação parcial homologada pelo Tribunal que expediu o precatório;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Pagamento de precatórios preteridos na ordem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Pagamento para acordo direto com credor, em forma estabelecida por lei própria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Administrador das contas-depósito</w:t>
      </w:r>
      <w:r w:rsidRPr="0017039D">
        <w:rPr>
          <w:rFonts w:ascii="Arial" w:hAnsi="Arial" w:cs="Arial"/>
          <w:sz w:val="24"/>
          <w:szCs w:val="24"/>
        </w:rPr>
        <w:t>: Tribunal de Justiça Local (ce</w:t>
      </w:r>
      <w:r w:rsidRPr="0017039D">
        <w:rPr>
          <w:rFonts w:ascii="Arial" w:hAnsi="Arial" w:cs="Arial"/>
          <w:sz w:val="24"/>
          <w:szCs w:val="24"/>
        </w:rPr>
        <w:t>ntralizador e redistribuidor dos valores)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Falta de depósito dos valores nos prazos ajustados: autoriza o imediato sequestro da quantia e sujeita o chefe do Poder Executivo à lei de responsabilidade fiscal e improbidade administrativa; autoriza a retenção, </w:t>
      </w:r>
      <w:r w:rsidRPr="0017039D">
        <w:rPr>
          <w:rFonts w:ascii="Arial" w:hAnsi="Arial" w:cs="Arial"/>
          <w:sz w:val="24"/>
          <w:szCs w:val="24"/>
        </w:rPr>
        <w:t>pela União, dos repasses dos Fundos de Participação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§16 ainda permite que a União assuma débitos, oriundos de precatórios, dos Estados, DF e Municípios, financiando-os diretamente.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Resultado: demora excessiva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Decisão do STF em março/2013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Plenário do Su</w:t>
      </w:r>
      <w:r w:rsidRPr="0017039D">
        <w:rPr>
          <w:rFonts w:ascii="Arial" w:hAnsi="Arial" w:cs="Arial"/>
          <w:sz w:val="24"/>
          <w:szCs w:val="24"/>
        </w:rPr>
        <w:t>premo Tribunal Federal (STF), por maioria, julgou parcialmente procedentes as Ações Diretas de Inconstitucionalidade (ADIs) 4357 e 4425 para declarar a inconstitucionalidade de parte da Emenda Constitucional 62/2009, que instituiu o novo regime especial de</w:t>
      </w:r>
      <w:r w:rsidRPr="0017039D">
        <w:rPr>
          <w:rFonts w:ascii="Arial" w:hAnsi="Arial" w:cs="Arial"/>
          <w:sz w:val="24"/>
          <w:szCs w:val="24"/>
        </w:rPr>
        <w:t xml:space="preserve"> pagamento de precatórios.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Foram declarados inconstitucionais dispositivos do artigo 100 da Constituição Federal, que institui regras gerais para precatórios, e integralmente inconstitucional o artigo 97 do Ato das Disposições Constitucionais Transitórias</w:t>
      </w:r>
      <w:r w:rsidRPr="0017039D">
        <w:rPr>
          <w:rFonts w:ascii="Arial" w:hAnsi="Arial" w:cs="Arial"/>
          <w:sz w:val="24"/>
          <w:szCs w:val="24"/>
        </w:rPr>
        <w:t xml:space="preserve"> (ADCT), que cria o regime especial de pagamento (parcelamento em 15 anos)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Foi decidido que o artigo 97 do ADCT era inconstitucional por afrontar cláusulas pétreas, como a de garantia de acesso à Justiça, a independência entre os Poderes e a proteção à coi</w:t>
      </w:r>
      <w:r w:rsidRPr="0017039D">
        <w:rPr>
          <w:rFonts w:ascii="Arial" w:hAnsi="Arial" w:cs="Arial"/>
          <w:sz w:val="24"/>
          <w:szCs w:val="24"/>
        </w:rPr>
        <w:t xml:space="preserve">sa julgada.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questão ainda deve retornar ao Plenário para a modulação dos efeitos, em especial quanto aos parcelamentos em curso e aos pagamentos já realizados sob a sistemática da emenda.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Acórdão ainda não foi publicado, porque falta</w:t>
      </w:r>
      <w:r w:rsidRPr="0017039D">
        <w:rPr>
          <w:rFonts w:ascii="Arial" w:hAnsi="Arial" w:cs="Arial"/>
          <w:sz w:val="24"/>
          <w:szCs w:val="24"/>
        </w:rPr>
        <w:t xml:space="preserve"> modular os efeitos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Resultado prático é a impossibilidade de se fazer o pagamento parcelado e os leilões de crédito, e a necessidade de uma nova PEC/lei complementar para regular o regime especial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Outros três importantes parágrafos da norma foram declarado</w:t>
      </w:r>
      <w:r w:rsidRPr="0017039D">
        <w:rPr>
          <w:rFonts w:ascii="Arial" w:hAnsi="Arial" w:cs="Arial"/>
          <w:sz w:val="24"/>
          <w:szCs w:val="24"/>
        </w:rPr>
        <w:t>s inconstitucionais: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possibilidade de leilão das dívidas,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 correção de valores com base na poupança e 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possibilidade de compensação dos pagamentos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REQUISIÇÃO DE PEQUENO VALOR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100, CF, §§3º e 4º: obrigações definidas em leis próprias como de peque</w:t>
      </w:r>
      <w:r w:rsidRPr="0017039D">
        <w:rPr>
          <w:rFonts w:ascii="Arial" w:hAnsi="Arial" w:cs="Arial"/>
          <w:sz w:val="24"/>
          <w:szCs w:val="24"/>
        </w:rPr>
        <w:t>no valor, conforme as diferentes capacidades econômicas, sendo o mínimo igual ao valor do maior benefício do regime geral de previdência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Valor atual (2014): R$ 4.390,24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Autonomia dos entes federativos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Prazo para pagamento: 60 dias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Valores Provisórios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Até 4</w:t>
      </w:r>
      <w:r w:rsidRPr="0017039D">
        <w:rPr>
          <w:rFonts w:ascii="Arial" w:hAnsi="Arial" w:cs="Arial"/>
          <w:sz w:val="24"/>
          <w:szCs w:val="24"/>
        </w:rPr>
        <w:t>0 salários mínimos para Estados e Distrito Federal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Até 30 salários mínimos para Municípios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UNIÃO: 60 salários mínimos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Questão intertemporal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Leis anteriores que fixavam valor menor que o maior benefício previdenciário foram revogadas pela EC 62/2009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Passara</w:t>
      </w:r>
      <w:r w:rsidRPr="0017039D">
        <w:rPr>
          <w:rFonts w:ascii="Arial" w:hAnsi="Arial" w:cs="Arial"/>
          <w:sz w:val="24"/>
          <w:szCs w:val="24"/>
        </w:rPr>
        <w:t>m a ser aplicados às execuções pendentes os novos valores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Entes públicos correram a se adequar aos termos da nova emenda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Passados os 180 dias, não existe preclusão para regulação da questão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VALORES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Paraná: 40 salários-mínimos, conforme Decreto Estadual nº </w:t>
      </w:r>
      <w:r w:rsidRPr="0017039D">
        <w:rPr>
          <w:rFonts w:ascii="Arial" w:hAnsi="Arial" w:cs="Arial"/>
          <w:sz w:val="24"/>
          <w:szCs w:val="24"/>
        </w:rPr>
        <w:t>846/03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São Paulo: R$ 22.864,71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Londrina: Lei 11647, de 28 de dezembro de 2011 – maior benefício da previdência social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Ourinhos: 15 salários mínimos (LC 520/07)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Renúncia ao excedente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Art. 87, parágrafo único, ADCT: permite a renúncia ao crédito do valor </w:t>
      </w:r>
      <w:r w:rsidRPr="0017039D">
        <w:rPr>
          <w:rFonts w:ascii="Arial" w:hAnsi="Arial" w:cs="Arial"/>
          <w:sz w:val="24"/>
          <w:szCs w:val="24"/>
        </w:rPr>
        <w:t>excedente para que possa receber por OPV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Instrução Normativa 32/2007 do TST faculta ao credor essa renúncia (art. 4º)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SEQUESTRO - HIPÓTESES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100, §6º, CF: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caso de preterimento de direito de precedência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caso de não inclusão e alocação orçamentár</w:t>
      </w:r>
      <w:r w:rsidRPr="0017039D">
        <w:rPr>
          <w:rFonts w:ascii="Arial" w:hAnsi="Arial" w:cs="Arial"/>
          <w:sz w:val="24"/>
          <w:szCs w:val="24"/>
        </w:rPr>
        <w:t>ia do valor necessário à satisfação do crédito do exequente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Essa última hipótese derroga a OJ 3 do TST: só admitia o sequestro na hipótese de preterição do direito de precedência do credor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Outras questões relacionadas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Os juros de mora da Fazenda são de 0,5</w:t>
      </w:r>
      <w:r w:rsidRPr="0017039D">
        <w:rPr>
          <w:rFonts w:ascii="Arial" w:hAnsi="Arial" w:cs="Arial"/>
          <w:sz w:val="24"/>
          <w:szCs w:val="24"/>
        </w:rPr>
        <w:t xml:space="preserve">%  a partir de setembro de 2001, e podem ser adequados, de ofício, no precatório (OJ 7 – TST)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se admite o desmembramento do valor para requerer OPV, exceto em caso de litisconsórcio de credores (OJ 30, III – valor individual de cada credor)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Honorários</w:t>
      </w:r>
      <w:r w:rsidRPr="0017039D">
        <w:rPr>
          <w:rFonts w:ascii="Arial" w:hAnsi="Arial" w:cs="Arial"/>
          <w:sz w:val="24"/>
          <w:szCs w:val="24"/>
        </w:rPr>
        <w:t xml:space="preserve"> advocatícios e periciais são consideradas parcelas autônomas, para esse fim – art. 7º da IN 32/07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9) EXECUÇÃO CONTRA A MASSA FALIDA OU EMPRESA EM RECUPERAÇÃO JUDICIAL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Sistema prévio à Lei 11.101/05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Execução contra o devedor concordatário corria na Justiça</w:t>
      </w:r>
      <w:r w:rsidRPr="0017039D">
        <w:rPr>
          <w:rFonts w:ascii="Arial" w:hAnsi="Arial" w:cs="Arial"/>
          <w:sz w:val="24"/>
          <w:szCs w:val="24"/>
        </w:rPr>
        <w:t xml:space="preserve"> do Trabalho, sem qualquer suspensão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Questão pacificada pelo STF (Súmula 227)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devedor em estado de falência era executado no juízo universal da falência, mediante expedição de certidões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Sistema da Lei 11.101/05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Separa em três figuras: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Recuperação </w:t>
      </w:r>
      <w:r w:rsidRPr="0017039D">
        <w:rPr>
          <w:rFonts w:ascii="Arial" w:hAnsi="Arial" w:cs="Arial"/>
          <w:sz w:val="24"/>
          <w:szCs w:val="24"/>
        </w:rPr>
        <w:t>extrajudicial (não confundir com liquidação extrajudicial)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Recuperação judicial</w:t>
      </w:r>
    </w:p>
    <w:p w:rsidR="002E707F" w:rsidRPr="0017039D" w:rsidRDefault="007C336F" w:rsidP="0017039D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Falência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Recuperação extrajudicial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 sistemática não é aplicável aos créditos trabalhistas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Art. 161, §1º: Não se aplica o disposto neste Capítulo a titulares de créditos de n</w:t>
      </w:r>
      <w:r w:rsidRPr="0017039D">
        <w:rPr>
          <w:rFonts w:ascii="Arial" w:hAnsi="Arial" w:cs="Arial"/>
          <w:sz w:val="24"/>
          <w:szCs w:val="24"/>
        </w:rPr>
        <w:t>atureza tributária, derivados da legislação do trabalho ou decorrentes de acidente de trabalho...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 xml:space="preserve">Mas aplica-se aos créditos decorrentes da relação de trabalho lato sensu </w:t>
      </w:r>
    </w:p>
    <w:p w:rsidR="002E707F" w:rsidRPr="0017039D" w:rsidRDefault="007C336F" w:rsidP="0017039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Recuperação Judicial</w:t>
      </w:r>
    </w:p>
    <w:p w:rsidR="002E707F" w:rsidRPr="0017039D" w:rsidRDefault="007C336F" w:rsidP="0017039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Sua superveniência suspende o curso da prescrição</w:t>
      </w:r>
    </w:p>
    <w:p w:rsidR="002E707F" w:rsidRPr="0017039D" w:rsidRDefault="007C336F" w:rsidP="0017039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Suspende </w:t>
      </w:r>
      <w:r w:rsidRPr="0017039D">
        <w:rPr>
          <w:rFonts w:ascii="Arial" w:hAnsi="Arial" w:cs="Arial"/>
          <w:sz w:val="24"/>
          <w:szCs w:val="24"/>
        </w:rPr>
        <w:t>também o curso das ações e execuções em face do devedor pelo prazo máximo de 180 dias contados do deferimento do processamento da recuperação</w:t>
      </w:r>
    </w:p>
    <w:p w:rsidR="002E707F" w:rsidRPr="0017039D" w:rsidRDefault="007C336F" w:rsidP="0017039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a quantia demandada for ilíquida, prossegue para fins de liquidação</w:t>
      </w:r>
    </w:p>
    <w:p w:rsidR="002E707F" w:rsidRPr="0017039D" w:rsidRDefault="007C336F" w:rsidP="0017039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As ações trabalhistas serão processadas per</w:t>
      </w:r>
      <w:r w:rsidRPr="0017039D">
        <w:rPr>
          <w:rFonts w:ascii="Arial" w:hAnsi="Arial" w:cs="Arial"/>
          <w:sz w:val="24"/>
          <w:szCs w:val="24"/>
        </w:rPr>
        <w:t>ante a JT até a apuração do respectivo crédito, que será inscrito no quadro geral de credores pelo valor determinado em sentença; passados os 180 dias, prossegue normalmente</w:t>
      </w:r>
    </w:p>
    <w:p w:rsidR="002E707F" w:rsidRPr="0017039D" w:rsidRDefault="007C336F" w:rsidP="0017039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 juiz pode pedir a reserva da quantia estimada, provisoriamente, se presentes os </w:t>
      </w:r>
      <w:r w:rsidRPr="0017039D">
        <w:rPr>
          <w:rFonts w:ascii="Arial" w:hAnsi="Arial" w:cs="Arial"/>
          <w:sz w:val="24"/>
          <w:szCs w:val="24"/>
        </w:rPr>
        <w:t>requisitos para cautelar; uma vez reconhecido o valor líquido do direito, será incluído na classe própria</w:t>
      </w:r>
    </w:p>
    <w:p w:rsidR="002E707F" w:rsidRPr="0017039D" w:rsidRDefault="007C336F" w:rsidP="0017039D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OJ 28, III – Falência e Recuperação Judicial. Reserva de crédito. Valor estimado. </w:t>
      </w:r>
      <w:r w:rsidRPr="0017039D">
        <w:rPr>
          <w:rFonts w:ascii="Arial" w:hAnsi="Arial" w:cs="Arial"/>
          <w:sz w:val="24"/>
          <w:szCs w:val="24"/>
        </w:rPr>
        <w:t>A reserva de crédito na recuperação judicial ou na falência (art. 6º</w:t>
      </w:r>
      <w:r w:rsidRPr="0017039D">
        <w:rPr>
          <w:rFonts w:ascii="Arial" w:hAnsi="Arial" w:cs="Arial"/>
          <w:sz w:val="24"/>
          <w:szCs w:val="24"/>
        </w:rPr>
        <w:t xml:space="preserve">, § 3º, da Lei 11.101/2005) exige a presença de </w:t>
      </w:r>
      <w:r w:rsidRPr="0017039D">
        <w:rPr>
          <w:rFonts w:ascii="Arial" w:hAnsi="Arial" w:cs="Arial"/>
          <w:sz w:val="24"/>
          <w:szCs w:val="24"/>
          <w:u w:val="single"/>
        </w:rPr>
        <w:t>requisitos que justifiquem o exercício do poder de cautela do juiz</w:t>
      </w:r>
      <w:r w:rsidRPr="0017039D">
        <w:rPr>
          <w:rFonts w:ascii="Arial" w:hAnsi="Arial" w:cs="Arial"/>
          <w:sz w:val="24"/>
          <w:szCs w:val="24"/>
        </w:rPr>
        <w:t>, sendo prescindível decisão com trânsito em julgado.</w:t>
      </w:r>
    </w:p>
    <w:p w:rsidR="002E707F" w:rsidRPr="0017039D" w:rsidRDefault="007C336F" w:rsidP="0017039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Enunciado 18 da Jornada Nacional de Execução</w:t>
      </w:r>
    </w:p>
    <w:p w:rsidR="002E707F" w:rsidRPr="0017039D" w:rsidRDefault="007C336F" w:rsidP="0017039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RECUPERAÇÃO JUDICIAL. EXCLUSÃO DO CONCURSO </w:t>
      </w:r>
      <w:r w:rsidRPr="0017039D">
        <w:rPr>
          <w:rFonts w:ascii="Arial" w:hAnsi="Arial" w:cs="Arial"/>
          <w:sz w:val="24"/>
          <w:szCs w:val="24"/>
        </w:rPr>
        <w:t>UNIVERSAL. HIPÓTESE.</w:t>
      </w:r>
    </w:p>
    <w:p w:rsidR="002E707F" w:rsidRPr="0017039D" w:rsidRDefault="007C336F" w:rsidP="0017039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Quando sobrevier recuperação judicial da empresa, após atos cautelares ou de execução que garantam o recebimento de valores por credores trabalhistas, vencido o prazo do § 4º do art. 6º da Lei nº 10.101/05, os bens ou valores arrestado</w:t>
      </w:r>
      <w:r w:rsidRPr="0017039D">
        <w:rPr>
          <w:rFonts w:ascii="Arial" w:hAnsi="Arial" w:cs="Arial"/>
          <w:sz w:val="24"/>
          <w:szCs w:val="24"/>
        </w:rPr>
        <w:t>s ou penhorados ficam excluídos do concurso universal e serão expropriados pelo Juiz do Trabalho.</w:t>
      </w:r>
    </w:p>
    <w:p w:rsidR="002E707F" w:rsidRPr="0017039D" w:rsidRDefault="007C336F" w:rsidP="0017039D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EXECUÇÕES CONTRA A MASSA FALIDA</w:t>
      </w:r>
    </w:p>
    <w:p w:rsidR="002E707F" w:rsidRPr="0017039D" w:rsidRDefault="007C336F" w:rsidP="0017039D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Três correntes doutrinárias:</w:t>
      </w:r>
    </w:p>
    <w:p w:rsidR="002E707F" w:rsidRPr="0017039D" w:rsidRDefault="007C336F" w:rsidP="0017039D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 - A massa é universal e atrai as execuções trabalhistas (posição do TST)</w:t>
      </w:r>
    </w:p>
    <w:p w:rsidR="002E707F" w:rsidRPr="0017039D" w:rsidRDefault="007C336F" w:rsidP="0017039D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II - O art. 114 da CF </w:t>
      </w:r>
      <w:r w:rsidRPr="0017039D">
        <w:rPr>
          <w:rFonts w:ascii="Arial" w:hAnsi="Arial" w:cs="Arial"/>
          <w:sz w:val="24"/>
          <w:szCs w:val="24"/>
        </w:rPr>
        <w:t>confere competência à JT para executar suas próprias decisões; os créditos são privilegiados e não precisam ser habilitados no juízo falimentar</w:t>
      </w:r>
    </w:p>
    <w:p w:rsidR="002E707F" w:rsidRPr="0017039D" w:rsidRDefault="007C336F" w:rsidP="0017039D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III - Os bens do devedor penhorados antes da falência não são alcançados pelo juízo falimentar; mas se o momento</w:t>
      </w:r>
      <w:r w:rsidRPr="0017039D">
        <w:rPr>
          <w:rFonts w:ascii="Arial" w:hAnsi="Arial" w:cs="Arial"/>
          <w:sz w:val="24"/>
          <w:szCs w:val="24"/>
        </w:rPr>
        <w:t xml:space="preserve"> da penhora for depois da quebra, deve ser habilitado o crédito junto da massa</w:t>
      </w:r>
    </w:p>
    <w:p w:rsidR="002E707F" w:rsidRPr="0017039D" w:rsidRDefault="007C336F" w:rsidP="0017039D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Prevalece a primeira corrente:</w:t>
      </w:r>
    </w:p>
    <w:p w:rsidR="002E707F" w:rsidRPr="0017039D" w:rsidRDefault="007C336F" w:rsidP="0017039D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... com a habilitação do crédito trabalhista perante o juízo universal é inviável o prosseguimento da execução na Justiça do Trabalho, incidindo o</w:t>
      </w:r>
      <w:r w:rsidRPr="0017039D">
        <w:rPr>
          <w:rFonts w:ascii="Arial" w:hAnsi="Arial" w:cs="Arial"/>
          <w:sz w:val="24"/>
          <w:szCs w:val="24"/>
        </w:rPr>
        <w:t xml:space="preserve"> art. 83 da Lei n° 11.101/2005, o qual estabelece que os créditos trabalhistas em face de empresa que teve sua falência decretada (apurados perante a Justiça do Trabalho consoante o art. 114 da Constituição Federal) devem ser satisfeitos perante o Juízo fa</w:t>
      </w:r>
      <w:r w:rsidRPr="0017039D">
        <w:rPr>
          <w:rFonts w:ascii="Arial" w:hAnsi="Arial" w:cs="Arial"/>
          <w:sz w:val="24"/>
          <w:szCs w:val="24"/>
        </w:rPr>
        <w:t>limentar [...] (AIRR - 150700-67.2000.5.01.0023, Relatora Ministra: Dora Maria da Costa, Data de Julgamento: 05/02/2014, 8ª Turma, Data de Publicação: 07/02/2014)</w:t>
      </w:r>
    </w:p>
    <w:p w:rsidR="002E707F" w:rsidRPr="0017039D" w:rsidRDefault="007C336F" w:rsidP="0017039D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 xml:space="preserve">OJ 28 – SE – EX: 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I – Falência e Recuperação Judicial. Competência. </w:t>
      </w:r>
      <w:r w:rsidRPr="0017039D">
        <w:rPr>
          <w:rFonts w:ascii="Arial" w:hAnsi="Arial" w:cs="Arial"/>
          <w:sz w:val="24"/>
          <w:szCs w:val="24"/>
        </w:rPr>
        <w:t xml:space="preserve">A execução contra a massa </w:t>
      </w:r>
      <w:r w:rsidRPr="0017039D">
        <w:rPr>
          <w:rFonts w:ascii="Arial" w:hAnsi="Arial" w:cs="Arial"/>
          <w:sz w:val="24"/>
          <w:szCs w:val="24"/>
        </w:rPr>
        <w:t xml:space="preserve">falida ou empresa em processo de recuperação judicial é de competência da Justiça do Trabalho até a fixação dos valores como incontroversos e a expedição da certidão de habilitação do crédito (Lei 11.101/05, art. 6o, §§ 1o e 2o). </w:t>
      </w:r>
    </w:p>
    <w:p w:rsidR="002E707F" w:rsidRPr="0017039D" w:rsidRDefault="007C336F" w:rsidP="0017039D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En. 19 da Jornada de Exec</w:t>
      </w:r>
      <w:r w:rsidRPr="0017039D">
        <w:rPr>
          <w:rFonts w:ascii="Arial" w:hAnsi="Arial" w:cs="Arial"/>
          <w:sz w:val="24"/>
          <w:szCs w:val="24"/>
        </w:rPr>
        <w:t>ução</w:t>
      </w:r>
      <w:r w:rsidRPr="0017039D">
        <w:rPr>
          <w:rFonts w:ascii="Arial" w:hAnsi="Arial" w:cs="Arial"/>
          <w:sz w:val="24"/>
          <w:szCs w:val="24"/>
        </w:rPr>
        <w:br/>
        <w:t>Sem ressonância na jurisprudência</w:t>
      </w:r>
    </w:p>
    <w:p w:rsidR="002E707F" w:rsidRPr="0017039D" w:rsidRDefault="007C336F" w:rsidP="0017039D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DECRETAÇÃO DE FALÊNCIA. EXPROPRIAÇÃO DE BENS PELA JUSTIÇA DO TRABALHO. HIPÓTESE. </w:t>
      </w:r>
    </w:p>
    <w:p w:rsidR="002E707F" w:rsidRPr="0017039D" w:rsidRDefault="007C336F" w:rsidP="0017039D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As execuções iniciadas antes da decretação da falência do empregador terão prosseguimento no juízo trabalhista, se já houver data defin</w:t>
      </w:r>
      <w:r w:rsidRPr="0017039D">
        <w:rPr>
          <w:rFonts w:ascii="Arial" w:hAnsi="Arial" w:cs="Arial"/>
          <w:sz w:val="24"/>
          <w:szCs w:val="24"/>
        </w:rPr>
        <w:t>itiva para a expropriação dos bens, hipótese em que o produto da alienação deve ser enviado ao juízo falimentar, a fim de permitir a habilitação do crédito trabalhista e sua inclusão no quadro geral de credores. Caso os bens já tenham sido alienados ao tem</w:t>
      </w:r>
      <w:r w:rsidRPr="0017039D">
        <w:rPr>
          <w:rFonts w:ascii="Arial" w:hAnsi="Arial" w:cs="Arial"/>
          <w:sz w:val="24"/>
          <w:szCs w:val="24"/>
        </w:rPr>
        <w:t>po da quebra, o credor trabalhista terá seu crédito satisfeito.</w:t>
      </w:r>
    </w:p>
    <w:p w:rsidR="002E707F" w:rsidRPr="0017039D" w:rsidRDefault="007C336F" w:rsidP="0017039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Efeitos da Falência</w:t>
      </w:r>
    </w:p>
    <w:p w:rsidR="002E707F" w:rsidRPr="0017039D" w:rsidRDefault="007C336F" w:rsidP="0017039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Suspende o curso da prescrição</w:t>
      </w:r>
    </w:p>
    <w:p w:rsidR="002E707F" w:rsidRPr="0017039D" w:rsidRDefault="007C336F" w:rsidP="0017039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Suspende o curso das ações e execuções em face do devedor</w:t>
      </w:r>
    </w:p>
    <w:p w:rsidR="002E707F" w:rsidRPr="0017039D" w:rsidRDefault="007C336F" w:rsidP="0017039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a quantia demandada for ilíquida, prossegue apenas para fins de liquidação</w:t>
      </w:r>
    </w:p>
    <w:p w:rsidR="002E707F" w:rsidRPr="0017039D" w:rsidRDefault="007C336F" w:rsidP="0017039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As aç</w:t>
      </w:r>
      <w:r w:rsidRPr="0017039D">
        <w:rPr>
          <w:rFonts w:ascii="Arial" w:hAnsi="Arial" w:cs="Arial"/>
          <w:sz w:val="24"/>
          <w:szCs w:val="24"/>
        </w:rPr>
        <w:t>ões trabalhistas serão processadas perante a JT até a apuração do respectivo crédito, que será inscrito no quadro geral de credores pelo valor determinado em sentença (certidão de habilitação)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preferência do crédito trabalhista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Não é mais ilimitada: </w:t>
      </w:r>
      <w:r w:rsidRPr="0017039D">
        <w:rPr>
          <w:rFonts w:ascii="Arial" w:hAnsi="Arial" w:cs="Arial"/>
          <w:sz w:val="24"/>
          <w:szCs w:val="24"/>
        </w:rPr>
        <w:t>restringe-se a 150 salários mínimos por credor (R$ 108.600,00)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restante entra como crédito quirografário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crédito decorrente de acidente de trabalho não foi limitado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Os créditos de natureza estritamente salarial vencidos nos três meses anteriores à decr</w:t>
      </w:r>
      <w:r w:rsidRPr="0017039D">
        <w:rPr>
          <w:rFonts w:ascii="Arial" w:hAnsi="Arial" w:cs="Arial"/>
          <w:sz w:val="24"/>
          <w:szCs w:val="24"/>
        </w:rPr>
        <w:t>etação da falência, limitados a 5 salários mínimos por credor, devem ser pagos tão-logo haja disponibilidade em caixa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Desconsideração da personalidade jurídica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Pode ocorrer a desconsideração da personalidade jurídica da massa falida, com prosseguimento da </w:t>
      </w:r>
      <w:r w:rsidRPr="0017039D">
        <w:rPr>
          <w:rFonts w:ascii="Arial" w:hAnsi="Arial" w:cs="Arial"/>
          <w:sz w:val="24"/>
          <w:szCs w:val="24"/>
        </w:rPr>
        <w:t>execução em face dos sócios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é necessário aguardar o fim do processo falimentar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OJ – SE – EX – 28: 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VII – Falência. Recuperação Judicial. Sócios responsabilizáveis e responsáveis subsidiários. Execução imediata na Justiça do Trabalho. </w:t>
      </w:r>
      <w:r w:rsidRPr="0017039D">
        <w:rPr>
          <w:rFonts w:ascii="Arial" w:hAnsi="Arial" w:cs="Arial"/>
          <w:sz w:val="24"/>
          <w:szCs w:val="24"/>
        </w:rPr>
        <w:t>Decretada a falênci</w:t>
      </w:r>
      <w:r w:rsidRPr="0017039D">
        <w:rPr>
          <w:rFonts w:ascii="Arial" w:hAnsi="Arial" w:cs="Arial"/>
          <w:sz w:val="24"/>
          <w:szCs w:val="24"/>
        </w:rPr>
        <w:t>a ou iniciado o processo de recuperação judicial, e havendo sócios responsabilizáveis ou responsáveis subsidiários, a execução pode ser imediatamente direcionada a estes, independente do desfecho do processo falimentar. Eventual direito de regresso ou ress</w:t>
      </w:r>
      <w:r w:rsidRPr="0017039D">
        <w:rPr>
          <w:rFonts w:ascii="Arial" w:hAnsi="Arial" w:cs="Arial"/>
          <w:sz w:val="24"/>
          <w:szCs w:val="24"/>
        </w:rPr>
        <w:t xml:space="preserve">arcimento destes responsabilizados deve ser discutido no Juízo Falimentar ou da Recuperação Judicial. </w:t>
      </w:r>
    </w:p>
    <w:p w:rsidR="002E707F" w:rsidRPr="0017039D" w:rsidRDefault="007C336F" w:rsidP="0017039D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Enunciado 20 da Jornada de Execução</w:t>
      </w:r>
    </w:p>
    <w:p w:rsidR="002E707F" w:rsidRPr="0017039D" w:rsidRDefault="007C336F" w:rsidP="0017039D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FALÊNCIA E RECUPERAÇÃO JUDICIAL. PROSSEGUIMENTO DA EXECUÇÃO TRABALHISTA CONTRA COOBRIGADOS, FIADOR</w:t>
      </w:r>
      <w:r w:rsidRPr="0017039D">
        <w:rPr>
          <w:rFonts w:ascii="Arial" w:hAnsi="Arial" w:cs="Arial"/>
          <w:sz w:val="24"/>
          <w:szCs w:val="24"/>
        </w:rPr>
        <w:t xml:space="preserve">ES, REGRESSIVAMENTE OBRIGADOS E SÓCIOS. POSSIBILIDADE. </w:t>
      </w:r>
    </w:p>
    <w:p w:rsidR="002E707F" w:rsidRPr="0017039D" w:rsidRDefault="007C336F" w:rsidP="0017039D">
      <w:pPr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 falência e a recuperação judicial, sem prejuízo do direito de habilitação de crédito no juízo universal, não impedem o prosseguimento da </w:t>
      </w:r>
      <w:r w:rsidRPr="0017039D">
        <w:rPr>
          <w:rFonts w:ascii="Arial" w:hAnsi="Arial" w:cs="Arial"/>
          <w:sz w:val="24"/>
          <w:szCs w:val="24"/>
        </w:rPr>
        <w:lastRenderedPageBreak/>
        <w:t>execução contra os coobrigados, os fiadores e os obrigados de</w:t>
      </w:r>
      <w:r w:rsidRPr="0017039D">
        <w:rPr>
          <w:rFonts w:ascii="Arial" w:hAnsi="Arial" w:cs="Arial"/>
          <w:sz w:val="24"/>
          <w:szCs w:val="24"/>
        </w:rPr>
        <w:t xml:space="preserve"> regresso, bem como os sócios, por força da desconsideração da personalidade jurídica.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TST contra simultaneidade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SIMULTANEIDADE DE PROCEDIMENTO. DEVEDOR SOLVENTE. EXECUÇÃO TRABALHISTA E HABILITAÇÃO NO JUÍZO UNIVERSAL DE FALÊNCIA. A pretensão recursal é de </w:t>
      </w:r>
      <w:r w:rsidRPr="0017039D">
        <w:rPr>
          <w:rFonts w:ascii="Arial" w:hAnsi="Arial" w:cs="Arial"/>
          <w:sz w:val="24"/>
          <w:szCs w:val="24"/>
        </w:rPr>
        <w:t>retorno da execução contra o devedor solvente e não componente da massa falida, até satisfação integral dos créditos reconhecidos judicialmente. Contudo, apesar das executadas serem solidariamente responsáveis pela satisfação do crédito trabalhista, o exeq</w:t>
      </w:r>
      <w:r w:rsidRPr="0017039D">
        <w:rPr>
          <w:rFonts w:ascii="Arial" w:hAnsi="Arial" w:cs="Arial"/>
          <w:sz w:val="24"/>
          <w:szCs w:val="24"/>
        </w:rPr>
        <w:t>uente habilitou seu crédito trabalhista perante o juízo universal da falência, abrindo mão da prerrogativa de ter seu crédito executado na Justiça do Trabalho em face da executada solvente, devedora solidária. Não procede a indicação de afronta a literalid</w:t>
      </w:r>
      <w:r w:rsidRPr="0017039D">
        <w:rPr>
          <w:rFonts w:ascii="Arial" w:hAnsi="Arial" w:cs="Arial"/>
          <w:sz w:val="24"/>
          <w:szCs w:val="24"/>
        </w:rPr>
        <w:t>ade do art. 5º, II, XXXVI, LIV, LV e LXXVIII (tramitação processual célere), da Constituição Federal. (AIRR - 150700-67.2000.5.01.0023, Relatora Ministra: Dora Maria da Costa, Data de Julgamento: 05/02/2014, 8ª Turma, Data de Publicação: 07/02/2014)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Devedo</w:t>
      </w:r>
      <w:r w:rsidRPr="0017039D">
        <w:rPr>
          <w:rFonts w:ascii="Arial" w:hAnsi="Arial" w:cs="Arial"/>
          <w:sz w:val="24"/>
          <w:szCs w:val="24"/>
        </w:rPr>
        <w:t>r subsidiário: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Se decretada a falência do devedor principal a execução pode prosseguir contra o subsidiário:</w:t>
      </w:r>
    </w:p>
    <w:p w:rsidR="002E707F" w:rsidRPr="0017039D" w:rsidRDefault="007C336F" w:rsidP="0017039D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OJ 28,</w:t>
      </w:r>
      <w:r w:rsidRPr="0017039D">
        <w:rPr>
          <w:rFonts w:ascii="Arial" w:hAnsi="Arial" w:cs="Arial"/>
          <w:sz w:val="24"/>
          <w:szCs w:val="24"/>
        </w:rPr>
        <w:t xml:space="preserve"> 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II – Falência e Recuperação Judicial. Competência. Responsável subsidiário. </w:t>
      </w:r>
      <w:r w:rsidRPr="0017039D">
        <w:rPr>
          <w:rFonts w:ascii="Arial" w:hAnsi="Arial" w:cs="Arial"/>
          <w:sz w:val="24"/>
          <w:szCs w:val="24"/>
        </w:rPr>
        <w:t>É competente a Justiça do Trabalho para a execução do crédito tr</w:t>
      </w:r>
      <w:r w:rsidRPr="0017039D">
        <w:rPr>
          <w:rFonts w:ascii="Arial" w:hAnsi="Arial" w:cs="Arial"/>
          <w:sz w:val="24"/>
          <w:szCs w:val="24"/>
        </w:rPr>
        <w:t xml:space="preserve">abalhista em face do responsável subsidiário, ainda que decretada a falência ou deferido o processamento da recuperação judicial do devedor principal.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devedor subsidiário deve arcar com os juros integrais:</w:t>
      </w:r>
    </w:p>
    <w:p w:rsidR="002E707F" w:rsidRPr="0017039D" w:rsidRDefault="007C336F" w:rsidP="0017039D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OJ 28, VI – Falência. Juros de mora. Responsabi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lidade subsidiária. </w:t>
      </w:r>
      <w:r w:rsidRPr="0017039D">
        <w:rPr>
          <w:rFonts w:ascii="Arial" w:hAnsi="Arial" w:cs="Arial"/>
          <w:sz w:val="24"/>
          <w:szCs w:val="24"/>
        </w:rPr>
        <w:t>Se a execução for dirigida diretamente contra o responsável subsidiário (empresa não falida), incidem juros de mora nos termos do artigo 883 da CLT e 39 da Lei n. 8.177/91. Os juros são exigíveis do devedor subsidiário ainda que a massa</w:t>
      </w:r>
      <w:r w:rsidRPr="0017039D">
        <w:rPr>
          <w:rFonts w:ascii="Arial" w:hAnsi="Arial" w:cs="Arial"/>
          <w:sz w:val="24"/>
          <w:szCs w:val="24"/>
        </w:rPr>
        <w:t xml:space="preserve"> falida satisfaça o principal, parte deste ou parte dos juros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AGRAVO DE PETIÇÃO. DEVEDORA PRINCIPAL EM RECUPERAÇÃO JUDICIAL. REDIRECIONAMENTO DA EXECUÇÃO EM FACE DO DEVEDOR SUBSIDIÁRIO. POSSIBILIDADE. INEXISTÊNCIA DE AFRONTA AO BENEFÍCIO DE ORDEM. A circun</w:t>
      </w:r>
      <w:r w:rsidRPr="0017039D">
        <w:rPr>
          <w:rFonts w:ascii="Arial" w:hAnsi="Arial" w:cs="Arial"/>
          <w:sz w:val="24"/>
          <w:szCs w:val="24"/>
        </w:rPr>
        <w:t xml:space="preserve">stância da devedora principal se encontrar em recuperação judicial não afeta o direito do credor em relação ao devedor subsidiário, razão pela qual não obsta o redirecionamento da execução em face deste, sem que se cogite de afronta ao benefício de ordem. </w:t>
      </w:r>
      <w:r w:rsidRPr="0017039D">
        <w:rPr>
          <w:rFonts w:ascii="Arial" w:hAnsi="Arial" w:cs="Arial"/>
          <w:sz w:val="24"/>
          <w:szCs w:val="24"/>
        </w:rPr>
        <w:t xml:space="preserve">Agravo de petição do Estado do Paraná a que se nega provimento. </w:t>
      </w:r>
      <w:r w:rsidRPr="0017039D">
        <w:rPr>
          <w:rFonts w:ascii="Arial" w:hAnsi="Arial" w:cs="Arial"/>
          <w:b/>
          <w:bCs/>
          <w:sz w:val="24"/>
          <w:szCs w:val="24"/>
        </w:rPr>
        <w:t>TRT-PR-14479-2006-011-09-00-0-ACO-05970-2010 - SEÇÃO ESPECIALIZADA. Relator: RUBENS EDGARD TIEMANN. Publicado no DJPR em 26-02-2010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depósito recursal já efetuado nos autos antes da decretaçã</w:t>
      </w:r>
      <w:r w:rsidRPr="0017039D">
        <w:rPr>
          <w:rFonts w:ascii="Arial" w:hAnsi="Arial" w:cs="Arial"/>
          <w:sz w:val="24"/>
          <w:szCs w:val="24"/>
        </w:rPr>
        <w:t>o da falência pode ser liberado ao exequente:</w:t>
      </w:r>
    </w:p>
    <w:p w:rsidR="002E707F" w:rsidRPr="0017039D" w:rsidRDefault="007C336F" w:rsidP="0017039D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OJ 28, IV – Falência e Recuperação Judicial. Liberação de depósito recursal. </w:t>
      </w:r>
      <w:r w:rsidRPr="0017039D">
        <w:rPr>
          <w:rFonts w:ascii="Arial" w:hAnsi="Arial" w:cs="Arial"/>
          <w:sz w:val="24"/>
          <w:szCs w:val="24"/>
        </w:rPr>
        <w:t>O depósito recursal pode ser liberado ao exequente, para a quitação de valores incontroversos, ainda que decretada a falência. Na hip</w:t>
      </w:r>
      <w:r w:rsidRPr="0017039D">
        <w:rPr>
          <w:rFonts w:ascii="Arial" w:hAnsi="Arial" w:cs="Arial"/>
          <w:sz w:val="24"/>
          <w:szCs w:val="24"/>
        </w:rPr>
        <w:t xml:space="preserve">ótese de recuperação judicial, o </w:t>
      </w:r>
      <w:r w:rsidRPr="0017039D">
        <w:rPr>
          <w:rFonts w:ascii="Arial" w:hAnsi="Arial" w:cs="Arial"/>
          <w:sz w:val="24"/>
          <w:szCs w:val="24"/>
        </w:rPr>
        <w:lastRenderedPageBreak/>
        <w:t xml:space="preserve">depósito recursal pode ser liberado ao exequente, desde que esgotado o prazo de suspensão a que se refere a Lei 11.101/2005, art. 6º, § 4º.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falência não dispensa de imediato dos juros, apenas posterga para avaliação do j</w:t>
      </w:r>
      <w:r w:rsidRPr="0017039D">
        <w:rPr>
          <w:rFonts w:ascii="Arial" w:hAnsi="Arial" w:cs="Arial"/>
          <w:sz w:val="24"/>
          <w:szCs w:val="24"/>
        </w:rPr>
        <w:t xml:space="preserve">uízo universal a respeito da possibilidade: </w:t>
      </w:r>
    </w:p>
    <w:p w:rsidR="002E707F" w:rsidRPr="0017039D" w:rsidRDefault="007C336F" w:rsidP="0017039D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OJ 28, V – Falência. Juros. </w:t>
      </w:r>
      <w:r w:rsidRPr="0017039D">
        <w:rPr>
          <w:rFonts w:ascii="Arial" w:hAnsi="Arial" w:cs="Arial"/>
          <w:sz w:val="24"/>
          <w:szCs w:val="24"/>
        </w:rPr>
        <w:t xml:space="preserve">A decretação da falência não suspende o pagamento de juros de mora apurados posteriormente à data da quebra, exceto se, após avaliação pelo juízo da falência, o ativo não bastar para </w:t>
      </w:r>
      <w:r w:rsidRPr="0017039D">
        <w:rPr>
          <w:rFonts w:ascii="Arial" w:hAnsi="Arial" w:cs="Arial"/>
          <w:sz w:val="24"/>
          <w:szCs w:val="24"/>
        </w:rPr>
        <w:t>o pagamento do principal, nos termos do artigo 124 da Lei 11.101/2005.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Também não exime de multas já aplicadas e com trânsito em julgado:</w:t>
      </w:r>
    </w:p>
    <w:p w:rsidR="002E707F" w:rsidRPr="0017039D" w:rsidRDefault="007C336F" w:rsidP="0017039D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OJ 28, IX – Falência. Execução. Multas dos arts. 467 e 477 da CLT. </w:t>
      </w:r>
      <w:r w:rsidRPr="0017039D">
        <w:rPr>
          <w:rFonts w:ascii="Arial" w:hAnsi="Arial" w:cs="Arial"/>
          <w:sz w:val="24"/>
          <w:szCs w:val="24"/>
        </w:rPr>
        <w:t>Falência decretada após a formação do título execut</w:t>
      </w:r>
      <w:r w:rsidRPr="0017039D">
        <w:rPr>
          <w:rFonts w:ascii="Arial" w:hAnsi="Arial" w:cs="Arial"/>
          <w:sz w:val="24"/>
          <w:szCs w:val="24"/>
        </w:rPr>
        <w:t xml:space="preserve">ivo que impôs condenação ao pagamento das referidas multas não exime a executada do seu adimplemento. Súmula 388 do TST.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EXECUÇÃO CONTRA A EMPRESA EM LIQUIDAÇÃO EXTRAJUDICIAL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que é liquidação extrajudicial?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Tipo de regime especial, medida administrativa</w:t>
      </w:r>
      <w:r w:rsidRPr="0017039D">
        <w:rPr>
          <w:rFonts w:ascii="Arial" w:hAnsi="Arial" w:cs="Arial"/>
          <w:sz w:val="24"/>
          <w:szCs w:val="24"/>
        </w:rPr>
        <w:t xml:space="preserve"> com caráter saneador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Intervenção econômica estatal em uma empresa supervisionada a fim de restabelecer suas finanças e satisfazer seus credores.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Hipóteses: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Banco Central do Brasil (instituições financeiras: bancos de modo geral, corretoras de valores, </w:t>
      </w:r>
      <w:r w:rsidRPr="0017039D">
        <w:rPr>
          <w:rFonts w:ascii="Arial" w:hAnsi="Arial" w:cs="Arial"/>
          <w:sz w:val="24"/>
          <w:szCs w:val="24"/>
        </w:rPr>
        <w:t>distribuidores de valores, corretoras de câmbio, leasing, consórcios, cooperativas de crédito, financeiras entre outras);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SUSEP – Superintendência de Seguros Privados (companhias seguradoras, entidades de previdência complementar aberta e sociedades de cap</w:t>
      </w:r>
      <w:r w:rsidRPr="0017039D">
        <w:rPr>
          <w:rFonts w:ascii="Arial" w:hAnsi="Arial" w:cs="Arial"/>
          <w:sz w:val="24"/>
          <w:szCs w:val="24"/>
        </w:rPr>
        <w:t xml:space="preserve">italização);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ANS – Agência Nacional de Saúde Suplementar (operadoras de saúde).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Provoca resultados semelhantes ao procedimento judicial de falência, mas a decretação se dá pelo órgão controlador (BC, SUSEP, ANS), que passa a administrar a atividade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 liq</w:t>
      </w:r>
      <w:r w:rsidRPr="0017039D">
        <w:rPr>
          <w:rFonts w:ascii="Arial" w:hAnsi="Arial" w:cs="Arial"/>
          <w:sz w:val="24"/>
          <w:szCs w:val="24"/>
        </w:rPr>
        <w:t>uidação extrajudicial não há necessária extinção imediata da empresa, que pode continuar a funcionar e a exercer atividade econômica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execução trabalhista continua até total satisfação do credor (art. 884 da CLT)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fica dispensado de depósito recursal e</w:t>
      </w:r>
      <w:r w:rsidRPr="0017039D">
        <w:rPr>
          <w:rFonts w:ascii="Arial" w:hAnsi="Arial" w:cs="Arial"/>
          <w:sz w:val="24"/>
          <w:szCs w:val="24"/>
        </w:rPr>
        <w:t xml:space="preserve"> nem de garantia integral da execução para embargos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Logo, não existe um juízo universal, como ocorre na falência – embora a CGJT já tenha tentado implantar um juízo universal trabalhista: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Provimento 5-2000 TST-CGJT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Havendo execuções conexas contra empresa </w:t>
      </w:r>
      <w:r w:rsidRPr="0017039D">
        <w:rPr>
          <w:rFonts w:ascii="Arial" w:hAnsi="Arial" w:cs="Arial"/>
          <w:sz w:val="24"/>
          <w:szCs w:val="24"/>
        </w:rPr>
        <w:t>em liquidação extrajudicial, em qualquer região da JT, o Provimento referido estabelecia a competência da VT que primeiro houve efetuado penhora de bens na sede da empresa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Essa prevenção de competência deveria ser definida pela Corregedoria de cada TRT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Rev</w:t>
      </w:r>
      <w:r w:rsidRPr="0017039D">
        <w:rPr>
          <w:rFonts w:ascii="Arial" w:hAnsi="Arial" w:cs="Arial"/>
          <w:sz w:val="24"/>
          <w:szCs w:val="24"/>
        </w:rPr>
        <w:t xml:space="preserve">ogado pelo Provimento 3/2002, tendo em vista os inúmeros questionamentos jurídicos e de ordem prática apresentados à </w:t>
      </w:r>
      <w:r w:rsidRPr="0017039D">
        <w:rPr>
          <w:rFonts w:ascii="Arial" w:hAnsi="Arial" w:cs="Arial"/>
          <w:sz w:val="24"/>
          <w:szCs w:val="24"/>
        </w:rPr>
        <w:lastRenderedPageBreak/>
        <w:t>Corregedoria-Geral da Justiça do Trabalho e, também, considerando a manifestação unânime do Colégio de Presidentes e Corregedores dos Tribu</w:t>
      </w:r>
      <w:r w:rsidRPr="0017039D">
        <w:rPr>
          <w:rFonts w:ascii="Arial" w:hAnsi="Arial" w:cs="Arial"/>
          <w:sz w:val="24"/>
          <w:szCs w:val="24"/>
        </w:rPr>
        <w:t xml:space="preserve">nais Regionais do Trabalho - COLEPRECOR expondo as dificuldades na aplicação deste provimento e solicitando a sua revogação. </w:t>
      </w:r>
    </w:p>
    <w:p w:rsidR="002E707F" w:rsidRPr="0017039D" w:rsidRDefault="007C336F" w:rsidP="0017039D">
      <w:pPr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Prosseguimento na Justiça do Trabalho</w:t>
      </w:r>
    </w:p>
    <w:p w:rsidR="002E707F" w:rsidRPr="0017039D" w:rsidRDefault="007C336F" w:rsidP="0017039D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OJ 143 do TST</w:t>
      </w:r>
    </w:p>
    <w:p w:rsidR="002E707F" w:rsidRPr="0017039D" w:rsidRDefault="007C336F" w:rsidP="0017039D">
      <w:pPr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EMPRESA EM LIQUIDAÇÃO EXTRAJUDICIAL. EXECUÇÃO. CRÉDITOS TRABALHISTAS. LEI Nº 6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.024/74. </w:t>
      </w:r>
      <w:r w:rsidRPr="0017039D">
        <w:rPr>
          <w:rFonts w:ascii="Arial" w:hAnsi="Arial" w:cs="Arial"/>
          <w:sz w:val="24"/>
          <w:szCs w:val="24"/>
        </w:rPr>
        <w:t xml:space="preserve">A execução trabalhista deve prosseguir diretamente na Justiça do Trabalho mesmo após a decretação da liquidação extrajudicial. Lei nº 6.830/80, arts. 5º e 29, aplicados supletivamente (CLT, art. 889 e CF/1988, art. 114). 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exclui correção monet</w:t>
      </w:r>
      <w:r w:rsidRPr="0017039D">
        <w:rPr>
          <w:rFonts w:ascii="Arial" w:hAnsi="Arial" w:cs="Arial"/>
          <w:sz w:val="24"/>
          <w:szCs w:val="24"/>
        </w:rPr>
        <w:t>ária, mas exclui juros em relação ao liquidando, de acordo com o TST:</w:t>
      </w:r>
    </w:p>
    <w:p w:rsidR="002E707F" w:rsidRPr="0017039D" w:rsidRDefault="007C336F" w:rsidP="0017039D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Súmula 304 do TST: CORREÇÃO MONETÁRIA. EMPRESAS EM LIQUIDAÇÃO. ART. 46 DO ADCT/CF. </w:t>
      </w:r>
      <w:r w:rsidRPr="0017039D">
        <w:rPr>
          <w:rFonts w:ascii="Arial" w:hAnsi="Arial" w:cs="Arial"/>
          <w:sz w:val="24"/>
          <w:szCs w:val="24"/>
        </w:rPr>
        <w:t>Os débitos trabalhistas das entidades submetidas aos regimes de intervenção ou liquidação extrajudicial</w:t>
      </w:r>
      <w:r w:rsidRPr="0017039D">
        <w:rPr>
          <w:rFonts w:ascii="Arial" w:hAnsi="Arial" w:cs="Arial"/>
          <w:sz w:val="24"/>
          <w:szCs w:val="24"/>
        </w:rPr>
        <w:t xml:space="preserve"> estão sujeitos a correção monetária desde o respectivo vencimento até seu efetivo pagamento, sem interrupção ou suspensão, não incidindo, entretanto, sobre tais débitos, juros de mora. 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Mas não em todos os casos, de acordo com o TRT:</w:t>
      </w:r>
    </w:p>
    <w:p w:rsidR="002E707F" w:rsidRPr="0017039D" w:rsidRDefault="007C336F" w:rsidP="0017039D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OJ SE 06, </w:t>
      </w:r>
      <w:r w:rsidRPr="0017039D">
        <w:rPr>
          <w:rFonts w:ascii="Arial" w:hAnsi="Arial" w:cs="Arial"/>
          <w:b/>
          <w:bCs/>
          <w:sz w:val="24"/>
          <w:szCs w:val="24"/>
        </w:rPr>
        <w:t>XIV – 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>Empre</w:t>
      </w:r>
      <w:r w:rsidRPr="0017039D">
        <w:rPr>
          <w:rFonts w:ascii="Arial" w:hAnsi="Arial" w:cs="Arial"/>
          <w:b/>
          <w:bCs/>
          <w:i/>
          <w:iCs/>
          <w:sz w:val="24"/>
          <w:szCs w:val="24"/>
        </w:rPr>
        <w:t>sa em liquidação extrajudicial. Juros</w:t>
      </w:r>
      <w:r w:rsidRPr="0017039D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7039D">
        <w:rPr>
          <w:rFonts w:ascii="Arial" w:hAnsi="Arial" w:cs="Arial"/>
          <w:sz w:val="24"/>
          <w:szCs w:val="24"/>
        </w:rPr>
        <w:t xml:space="preserve">Incidem juros sobre os débitos a que está obrigada a empresa, </w:t>
      </w:r>
      <w:r w:rsidRPr="0017039D">
        <w:rPr>
          <w:rFonts w:ascii="Arial" w:hAnsi="Arial" w:cs="Arial"/>
          <w:sz w:val="24"/>
          <w:szCs w:val="24"/>
          <w:u w:val="single"/>
        </w:rPr>
        <w:t>salvo na hipótese de liquidação extrajudicial de instituição financeira, com intervenção do Banco Central</w:t>
      </w:r>
      <w:r w:rsidRPr="0017039D">
        <w:rPr>
          <w:rFonts w:ascii="Arial" w:hAnsi="Arial" w:cs="Arial"/>
          <w:sz w:val="24"/>
          <w:szCs w:val="24"/>
        </w:rPr>
        <w:t>, regulada pela Lei 6.024/74, quando haverá suspen</w:t>
      </w:r>
      <w:r w:rsidRPr="0017039D">
        <w:rPr>
          <w:rFonts w:ascii="Arial" w:hAnsi="Arial" w:cs="Arial"/>
          <w:sz w:val="24"/>
          <w:szCs w:val="24"/>
        </w:rPr>
        <w:t xml:space="preserve">são dos juros (art. 18, "d"), enquanto não integralmente pago o passivo. 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Em relação à sucessora (como no caso dos bancos), não há exclusão dos juros de mora:</w:t>
      </w:r>
    </w:p>
    <w:p w:rsidR="002E707F" w:rsidRPr="0017039D" w:rsidRDefault="007C336F" w:rsidP="0017039D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 xml:space="preserve">OJ 408 da SDI-I: JUROS DE MORA. EMPRESA EM LIQUIDAÇÃO EXTRAJUDICIAL. SUCESSÃO TRABALHISTA.  </w:t>
      </w:r>
      <w:r w:rsidRPr="0017039D">
        <w:rPr>
          <w:rFonts w:ascii="Arial" w:hAnsi="Arial" w:cs="Arial"/>
          <w:sz w:val="24"/>
          <w:szCs w:val="24"/>
        </w:rPr>
        <w:t>É dev</w:t>
      </w:r>
      <w:r w:rsidRPr="0017039D">
        <w:rPr>
          <w:rFonts w:ascii="Arial" w:hAnsi="Arial" w:cs="Arial"/>
          <w:sz w:val="24"/>
          <w:szCs w:val="24"/>
        </w:rPr>
        <w:t>ida a incidência de juros de mora em relação aos débitos trabalhistas de empresa em liquidação extrajudicial sucedida nos moldes dos arts. 10 e 448 da CLT. O sucessor responde pela obrigação do sucedido, não se beneficiando de qualquer privilégio a este de</w:t>
      </w:r>
      <w:r w:rsidRPr="0017039D">
        <w:rPr>
          <w:rFonts w:ascii="Arial" w:hAnsi="Arial" w:cs="Arial"/>
          <w:sz w:val="24"/>
          <w:szCs w:val="24"/>
        </w:rPr>
        <w:t xml:space="preserve">stinado. 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b/>
          <w:bCs/>
          <w:sz w:val="24"/>
          <w:szCs w:val="24"/>
        </w:rPr>
        <w:t>CONCURSO DE CREDORES NA EXECUÇÃO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O concurso de credores existe quando estão concorrendo vários credores em face de um devedor comum, que não tem condições econômicas de pagar a todos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Nesse caso, o pagamento será feito consoante as</w:t>
      </w:r>
      <w:r w:rsidRPr="0017039D">
        <w:rPr>
          <w:rFonts w:ascii="Arial" w:hAnsi="Arial" w:cs="Arial"/>
          <w:sz w:val="24"/>
          <w:szCs w:val="24"/>
        </w:rPr>
        <w:t xml:space="preserve"> respectivas prelações, obedecendo a uma ordem legal, sendo que o crédito trabalhista tem preferência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E entre os credores com igual preferência, como o trabalhista?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Não havendo título legal a preferência, receberá em 1º lugar o credor que promover a execuç</w:t>
      </w:r>
      <w:r w:rsidRPr="0017039D">
        <w:rPr>
          <w:rFonts w:ascii="Arial" w:hAnsi="Arial" w:cs="Arial"/>
          <w:sz w:val="24"/>
          <w:szCs w:val="24"/>
        </w:rPr>
        <w:t>ão, cabendo aos demais concorrentes direito sobre a importância restante observados a anterioridade de cada penhora dos bens apreendidos judicialmente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Concurso extraoficial estabelecido por alguns juízes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lastRenderedPageBreak/>
        <w:t>Certidão Negativa de Débitos Trabalhistas: CNDT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CNDT</w:t>
      </w:r>
      <w:r w:rsidRPr="0017039D">
        <w:rPr>
          <w:rFonts w:ascii="Arial" w:hAnsi="Arial" w:cs="Arial"/>
          <w:sz w:val="24"/>
          <w:szCs w:val="24"/>
        </w:rPr>
        <w:t>: Lei 12.440/2011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Acrescenta o art. 642-A à CLT, estabelecendo expedição gratuita e eletrônica de certidão de inexistência de débito.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Na prática, cria um Banco de dados Nacional de Débitos Trabalhistas (BNDT)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A certidão será positiva quando houver execução</w:t>
      </w:r>
      <w:r w:rsidRPr="0017039D">
        <w:rPr>
          <w:rFonts w:ascii="Arial" w:hAnsi="Arial" w:cs="Arial"/>
          <w:sz w:val="24"/>
          <w:szCs w:val="24"/>
        </w:rPr>
        <w:t xml:space="preserve"> de título judicial ou extrajudicial inadimplida: </w:t>
      </w:r>
    </w:p>
    <w:p w:rsidR="002E707F" w:rsidRPr="0017039D" w:rsidRDefault="007C336F" w:rsidP="0017039D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a) sentença condenatória transitada em julgado ou acordos judiciais trabalhistas, inclusive recolhimentos previdenciários, honorários, custas, emolumentos e recolhimentos determinados em lei; </w:t>
      </w:r>
    </w:p>
    <w:p w:rsidR="002E707F" w:rsidRPr="0017039D" w:rsidRDefault="007C336F" w:rsidP="0017039D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b) execução </w:t>
      </w:r>
      <w:r w:rsidRPr="0017039D">
        <w:rPr>
          <w:rFonts w:ascii="Arial" w:hAnsi="Arial" w:cs="Arial"/>
          <w:sz w:val="24"/>
          <w:szCs w:val="24"/>
        </w:rPr>
        <w:t>de acordos firmados perante o Ministério Público do Trabalho ou Comissão de Conciliação Prévia.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Certidão positiva com efeitos de negativa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Débitos garantidos por penhora suficiente 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Débitos com exigibilidade suspensa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Lei de licitações: exigência de comprova</w:t>
      </w:r>
      <w:r w:rsidRPr="0017039D">
        <w:rPr>
          <w:rFonts w:ascii="Arial" w:hAnsi="Arial" w:cs="Arial"/>
          <w:sz w:val="24"/>
          <w:szCs w:val="24"/>
        </w:rPr>
        <w:t>ção de regularidade trabalhista, mediante exibição da CNDT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Validade de 180 dias</w:t>
      </w:r>
    </w:p>
    <w:p w:rsidR="002E707F" w:rsidRPr="0017039D" w:rsidRDefault="007C336F" w:rsidP="0017039D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Projeto inicial mais amplo:</w:t>
      </w:r>
    </w:p>
    <w:p w:rsidR="002E707F" w:rsidRPr="0017039D" w:rsidRDefault="007C336F" w:rsidP="0017039D">
      <w:pPr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 xml:space="preserve">Foram suprimidas pela CCJ da Câmara do texto as seguintes hipóteses de exigência: </w:t>
      </w:r>
    </w:p>
    <w:p w:rsidR="002E707F" w:rsidRPr="0017039D" w:rsidRDefault="007C336F" w:rsidP="0017039D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(i)</w:t>
      </w:r>
      <w:r w:rsidRPr="0017039D">
        <w:rPr>
          <w:rFonts w:ascii="Arial" w:hAnsi="Arial" w:cs="Arial"/>
          <w:sz w:val="24"/>
          <w:szCs w:val="24"/>
        </w:rPr>
        <w:t xml:space="preserve"> contratação ou renovação de contrato com o Poder Público, </w:t>
      </w:r>
    </w:p>
    <w:p w:rsidR="002E707F" w:rsidRPr="0017039D" w:rsidRDefault="007C336F" w:rsidP="0017039D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(i</w:t>
      </w:r>
      <w:r w:rsidRPr="0017039D">
        <w:rPr>
          <w:rFonts w:ascii="Arial" w:hAnsi="Arial" w:cs="Arial"/>
          <w:i/>
          <w:iCs/>
          <w:sz w:val="24"/>
          <w:szCs w:val="24"/>
        </w:rPr>
        <w:t>i)</w:t>
      </w:r>
      <w:r w:rsidRPr="0017039D">
        <w:rPr>
          <w:rFonts w:ascii="Arial" w:hAnsi="Arial" w:cs="Arial"/>
          <w:sz w:val="24"/>
          <w:szCs w:val="24"/>
        </w:rPr>
        <w:t xml:space="preserve"> recebimento de benefícios ou incentivo fiscal, </w:t>
      </w:r>
    </w:p>
    <w:p w:rsidR="002E707F" w:rsidRPr="0017039D" w:rsidRDefault="007C336F" w:rsidP="0017039D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(iii)</w:t>
      </w:r>
      <w:r w:rsidRPr="0017039D">
        <w:rPr>
          <w:rFonts w:ascii="Arial" w:hAnsi="Arial" w:cs="Arial"/>
          <w:sz w:val="24"/>
          <w:szCs w:val="24"/>
        </w:rPr>
        <w:t xml:space="preserve"> alienação ou oneração de imóvel; </w:t>
      </w:r>
    </w:p>
    <w:p w:rsidR="002E707F" w:rsidRPr="0017039D" w:rsidRDefault="007C336F" w:rsidP="0017039D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(iv)</w:t>
      </w:r>
      <w:r w:rsidRPr="0017039D">
        <w:rPr>
          <w:rFonts w:ascii="Arial" w:hAnsi="Arial" w:cs="Arial"/>
          <w:sz w:val="24"/>
          <w:szCs w:val="24"/>
        </w:rPr>
        <w:t xml:space="preserve"> registro de alterações de empresa, na junta comercial e </w:t>
      </w:r>
    </w:p>
    <w:p w:rsidR="002E707F" w:rsidRPr="0017039D" w:rsidRDefault="007C336F" w:rsidP="0017039D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i/>
          <w:iCs/>
          <w:sz w:val="24"/>
          <w:szCs w:val="24"/>
        </w:rPr>
        <w:t>(v)</w:t>
      </w:r>
      <w:r w:rsidRPr="0017039D">
        <w:rPr>
          <w:rFonts w:ascii="Arial" w:hAnsi="Arial" w:cs="Arial"/>
          <w:sz w:val="24"/>
          <w:szCs w:val="24"/>
        </w:rPr>
        <w:t xml:space="preserve"> averbação de obra de construção civil, no registro de imóveis</w:t>
      </w:r>
    </w:p>
    <w:p w:rsidR="002E707F" w:rsidRPr="0017039D" w:rsidRDefault="007C336F" w:rsidP="0017039D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CERTIDÕES EXPEDIDAS</w:t>
      </w:r>
    </w:p>
    <w:p w:rsidR="002E707F" w:rsidRPr="0017039D" w:rsidRDefault="007C336F" w:rsidP="0017039D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Brasil, até o dia 05-03-2014, às 20h00: 44.457.020</w:t>
      </w:r>
    </w:p>
    <w:p w:rsidR="002E707F" w:rsidRPr="0017039D" w:rsidRDefault="007C336F" w:rsidP="0017039D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Média de 41 mil certidões expedidas/dia</w:t>
      </w:r>
    </w:p>
    <w:p w:rsidR="002E707F" w:rsidRPr="0017039D" w:rsidRDefault="007C336F" w:rsidP="0017039D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Corregedoria do CNJ recomendou aos cartórios do país que exigissem CNDTs nos casos de compra de imóveis</w:t>
      </w:r>
    </w:p>
    <w:p w:rsidR="002E707F" w:rsidRPr="0017039D" w:rsidRDefault="007C336F" w:rsidP="0017039D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039D">
        <w:rPr>
          <w:rFonts w:ascii="Arial" w:hAnsi="Arial" w:cs="Arial"/>
          <w:sz w:val="24"/>
          <w:szCs w:val="24"/>
        </w:rPr>
        <w:t>No site constam também os relatórios dos cem maiores deved</w:t>
      </w:r>
      <w:r w:rsidRPr="0017039D">
        <w:rPr>
          <w:rFonts w:ascii="Arial" w:hAnsi="Arial" w:cs="Arial"/>
          <w:sz w:val="24"/>
          <w:szCs w:val="24"/>
        </w:rPr>
        <w:t>ores do Brasil</w:t>
      </w:r>
    </w:p>
    <w:p w:rsidR="009612D6" w:rsidRPr="0017039D" w:rsidRDefault="009612D6" w:rsidP="001703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612D6" w:rsidRPr="0017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BEF"/>
    <w:multiLevelType w:val="hybridMultilevel"/>
    <w:tmpl w:val="04744C3C"/>
    <w:lvl w:ilvl="0" w:tplc="07DCD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402956">
      <w:start w:val="17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5748A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5C6D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ABE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2E6C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E07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FC89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12E9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CC20CC"/>
    <w:multiLevelType w:val="hybridMultilevel"/>
    <w:tmpl w:val="CAE083AA"/>
    <w:lvl w:ilvl="0" w:tplc="B21C7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606E4">
      <w:start w:val="175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046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2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2D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64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C0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E2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416CB2"/>
    <w:multiLevelType w:val="hybridMultilevel"/>
    <w:tmpl w:val="617C523C"/>
    <w:lvl w:ilvl="0" w:tplc="5F92D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4A338">
      <w:start w:val="175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8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0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6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42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89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48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CF71D6"/>
    <w:multiLevelType w:val="hybridMultilevel"/>
    <w:tmpl w:val="D92619DA"/>
    <w:lvl w:ilvl="0" w:tplc="3FC82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CC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9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4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6B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EA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C4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A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E6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CE5D6A"/>
    <w:multiLevelType w:val="hybridMultilevel"/>
    <w:tmpl w:val="EF80868A"/>
    <w:lvl w:ilvl="0" w:tplc="F25C35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5EFE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909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D8EF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7EB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DCAE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7071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A0A0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D6B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69343A"/>
    <w:multiLevelType w:val="hybridMultilevel"/>
    <w:tmpl w:val="A1B04D64"/>
    <w:lvl w:ilvl="0" w:tplc="52BC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2CC6A">
      <w:start w:val="175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B43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67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08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C2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8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F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01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0F6E71"/>
    <w:multiLevelType w:val="hybridMultilevel"/>
    <w:tmpl w:val="59BE25B8"/>
    <w:lvl w:ilvl="0" w:tplc="5E649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25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AE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E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67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CB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46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04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46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6E0945"/>
    <w:multiLevelType w:val="hybridMultilevel"/>
    <w:tmpl w:val="BD46B3E0"/>
    <w:lvl w:ilvl="0" w:tplc="4B64C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A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AC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CE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ED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20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0E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8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AF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AD3619"/>
    <w:multiLevelType w:val="hybridMultilevel"/>
    <w:tmpl w:val="26B093D0"/>
    <w:lvl w:ilvl="0" w:tplc="0C28AE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C085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9C9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8ED7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4A2B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98C7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0C28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2A80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5ECB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17B037A"/>
    <w:multiLevelType w:val="hybridMultilevel"/>
    <w:tmpl w:val="180CE236"/>
    <w:lvl w:ilvl="0" w:tplc="F364F4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E9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307F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DE0C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607E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8E6A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86B7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CAD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8B6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2356794"/>
    <w:multiLevelType w:val="hybridMultilevel"/>
    <w:tmpl w:val="DBE6C628"/>
    <w:lvl w:ilvl="0" w:tplc="8CAE6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CF8052C">
      <w:start w:val="175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05E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14EF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7D03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6E0A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0B85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FCC9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FCC9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32CF7D31"/>
    <w:multiLevelType w:val="hybridMultilevel"/>
    <w:tmpl w:val="26EA6436"/>
    <w:lvl w:ilvl="0" w:tplc="F1864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80E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6E00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24AE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0CC1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4444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6BC7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D18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8BE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>
    <w:nsid w:val="36C56190"/>
    <w:multiLevelType w:val="hybridMultilevel"/>
    <w:tmpl w:val="38464B8A"/>
    <w:lvl w:ilvl="0" w:tplc="499C4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9EC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A0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A265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6882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BD01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5A3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2303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FE65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>
    <w:nsid w:val="39874009"/>
    <w:multiLevelType w:val="hybridMultilevel"/>
    <w:tmpl w:val="91C22750"/>
    <w:lvl w:ilvl="0" w:tplc="B1104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231E8">
      <w:start w:val="175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EE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06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29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B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82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66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8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06A659B"/>
    <w:multiLevelType w:val="hybridMultilevel"/>
    <w:tmpl w:val="55C4981A"/>
    <w:lvl w:ilvl="0" w:tplc="B6FEA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C6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AE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2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CB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C5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8C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CF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6C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333DAF"/>
    <w:multiLevelType w:val="hybridMultilevel"/>
    <w:tmpl w:val="4CD0509E"/>
    <w:lvl w:ilvl="0" w:tplc="1860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82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A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4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A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2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A4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EC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0D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AF64D5"/>
    <w:multiLevelType w:val="hybridMultilevel"/>
    <w:tmpl w:val="12021372"/>
    <w:lvl w:ilvl="0" w:tplc="3FB20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DAC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EC49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928A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2BE7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7A3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C5AD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CAAE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8CCB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>
    <w:nsid w:val="5F587F37"/>
    <w:multiLevelType w:val="hybridMultilevel"/>
    <w:tmpl w:val="537ADEAE"/>
    <w:lvl w:ilvl="0" w:tplc="387C7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C8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AD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06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E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2D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6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A9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C9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31D2BFB"/>
    <w:multiLevelType w:val="hybridMultilevel"/>
    <w:tmpl w:val="EFA8A04A"/>
    <w:lvl w:ilvl="0" w:tplc="A80A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3106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78D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946B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A902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EA2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88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AD28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8040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>
    <w:nsid w:val="69C62D48"/>
    <w:multiLevelType w:val="hybridMultilevel"/>
    <w:tmpl w:val="A7F634F4"/>
    <w:lvl w:ilvl="0" w:tplc="E43EA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4F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07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0F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C9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49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60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26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44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9E96130"/>
    <w:multiLevelType w:val="hybridMultilevel"/>
    <w:tmpl w:val="96BE7AEA"/>
    <w:lvl w:ilvl="0" w:tplc="DA627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FA7062">
      <w:start w:val="17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366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F826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88C6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08F6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A4C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78FD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6A6D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CA13632"/>
    <w:multiLevelType w:val="hybridMultilevel"/>
    <w:tmpl w:val="C41873AE"/>
    <w:lvl w:ilvl="0" w:tplc="4C908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A69CA">
      <w:start w:val="17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CE0A5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783F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C003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D09E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888B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AE18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250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3026FE7"/>
    <w:multiLevelType w:val="hybridMultilevel"/>
    <w:tmpl w:val="921CCDFC"/>
    <w:lvl w:ilvl="0" w:tplc="F3EE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A966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41CA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8F46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34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940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E9EA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DC62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E94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>
    <w:nsid w:val="77507843"/>
    <w:multiLevelType w:val="hybridMultilevel"/>
    <w:tmpl w:val="C6A40972"/>
    <w:lvl w:ilvl="0" w:tplc="D26E3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1E03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7CCD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00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7E4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A08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EBE9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E901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3FAF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4">
    <w:nsid w:val="7B8C05E6"/>
    <w:multiLevelType w:val="hybridMultilevel"/>
    <w:tmpl w:val="02B65DBE"/>
    <w:lvl w:ilvl="0" w:tplc="DB583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6D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2A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A2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A0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C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4A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C4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8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ED04A4C"/>
    <w:multiLevelType w:val="hybridMultilevel"/>
    <w:tmpl w:val="3670F5DC"/>
    <w:lvl w:ilvl="0" w:tplc="B276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2E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EE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03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60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1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8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E3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F1360DB"/>
    <w:multiLevelType w:val="hybridMultilevel"/>
    <w:tmpl w:val="E5E40788"/>
    <w:lvl w:ilvl="0" w:tplc="39781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81560">
      <w:start w:val="175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06AEF6">
      <w:start w:val="17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22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EC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4A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A6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C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A1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2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7"/>
  </w:num>
  <w:num w:numId="10">
    <w:abstractNumId w:val="9"/>
  </w:num>
  <w:num w:numId="11">
    <w:abstractNumId w:val="26"/>
  </w:num>
  <w:num w:numId="12">
    <w:abstractNumId w:val="16"/>
  </w:num>
  <w:num w:numId="13">
    <w:abstractNumId w:val="13"/>
  </w:num>
  <w:num w:numId="14">
    <w:abstractNumId w:val="11"/>
  </w:num>
  <w:num w:numId="15">
    <w:abstractNumId w:val="19"/>
  </w:num>
  <w:num w:numId="16">
    <w:abstractNumId w:val="10"/>
  </w:num>
  <w:num w:numId="17">
    <w:abstractNumId w:val="3"/>
  </w:num>
  <w:num w:numId="18">
    <w:abstractNumId w:val="12"/>
  </w:num>
  <w:num w:numId="19">
    <w:abstractNumId w:val="15"/>
  </w:num>
  <w:num w:numId="20">
    <w:abstractNumId w:val="22"/>
  </w:num>
  <w:num w:numId="21">
    <w:abstractNumId w:val="24"/>
  </w:num>
  <w:num w:numId="22">
    <w:abstractNumId w:val="23"/>
  </w:num>
  <w:num w:numId="23">
    <w:abstractNumId w:val="5"/>
  </w:num>
  <w:num w:numId="24">
    <w:abstractNumId w:val="18"/>
  </w:num>
  <w:num w:numId="25">
    <w:abstractNumId w:val="2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9D"/>
    <w:rsid w:val="00117EBD"/>
    <w:rsid w:val="0017039D"/>
    <w:rsid w:val="001D17D6"/>
    <w:rsid w:val="002C35FA"/>
    <w:rsid w:val="002E707F"/>
    <w:rsid w:val="004735FD"/>
    <w:rsid w:val="004F7458"/>
    <w:rsid w:val="007C336F"/>
    <w:rsid w:val="009612D6"/>
    <w:rsid w:val="00AC22CA"/>
    <w:rsid w:val="00C32DE4"/>
    <w:rsid w:val="00C64166"/>
    <w:rsid w:val="00CF5148"/>
    <w:rsid w:val="00E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746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5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3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81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0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4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5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2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0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91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2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54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6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1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7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0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0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1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3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5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0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67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38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74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0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38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15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5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8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1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8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00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1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3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5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74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868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11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266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427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27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06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81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11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02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39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16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7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56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03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36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668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92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60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600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22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97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10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035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005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380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404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292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427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96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6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1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5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0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8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7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3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1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1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25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5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7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1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4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5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0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1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3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2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8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5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3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6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5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7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6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1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1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9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4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87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1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8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58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3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9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8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0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04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8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6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1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8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46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4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5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3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8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9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1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3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9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5040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1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307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5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7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6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9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6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1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2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8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92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6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3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7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9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01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2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8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46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69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837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3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88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3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92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1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35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61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1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5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71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64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27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9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79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77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388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612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0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4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9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63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2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31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71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21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52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507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11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71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66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9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7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1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1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4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1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5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319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23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55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5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37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5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4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73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361">
          <w:marLeft w:val="121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51">
          <w:marLeft w:val="121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73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7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36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1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19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4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48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8950</Words>
  <Characters>48332</Characters>
  <Application>Microsoft Office Word</Application>
  <DocSecurity>0</DocSecurity>
  <Lines>402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</Company>
  <LinksUpToDate>false</LinksUpToDate>
  <CharactersWithSpaces>57168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 Renato</cp:lastModifiedBy>
  <cp:revision>2</cp:revision>
  <dcterms:created xsi:type="dcterms:W3CDTF">2014-06-05T19:02:00Z</dcterms:created>
  <dcterms:modified xsi:type="dcterms:W3CDTF">2014-06-05T19:02:00Z</dcterms:modified>
</cp:coreProperties>
</file>