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D8A4E" w14:textId="77777777" w:rsidR="00BA6F68" w:rsidRPr="00C40B1C" w:rsidRDefault="00BA6F68">
      <w:pPr>
        <w:pStyle w:val="Corpo"/>
        <w:spacing w:line="360" w:lineRule="auto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14:paraId="549F9938" w14:textId="77777777" w:rsidR="00BA6F68" w:rsidRPr="0089033D" w:rsidRDefault="00C40B1C">
      <w:pPr>
        <w:pStyle w:val="Corpo"/>
        <w:suppressAutoHyphens/>
        <w:spacing w:after="100" w:line="360" w:lineRule="auto"/>
        <w:jc w:val="both"/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</w:pPr>
      <w:r w:rsidRPr="0089033D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A segurança jurídica e o neoconstitucionalismo: incorreções e contradições da tentativa de superação da separação de poderes</w:t>
      </w:r>
    </w:p>
    <w:p w14:paraId="09C5CCBE" w14:textId="77777777" w:rsidR="00BA6F68" w:rsidRPr="00C40B1C" w:rsidRDefault="00BA6F68">
      <w:pPr>
        <w:pStyle w:val="Corpo"/>
        <w:suppressAutoHyphens/>
        <w:spacing w:after="100" w:line="360" w:lineRule="auto"/>
        <w:rPr>
          <w:rFonts w:ascii="Times New Roman" w:eastAsia="Times New Roman" w:hAnsi="Times New Roman" w:cs="Times New Roman"/>
          <w:b/>
          <w:bCs/>
          <w:smallCaps/>
          <w:sz w:val="26"/>
          <w:szCs w:val="26"/>
        </w:rPr>
      </w:pPr>
    </w:p>
    <w:p w14:paraId="1FA5A3E9" w14:textId="77777777" w:rsidR="0089033D" w:rsidRPr="0089033D" w:rsidRDefault="0089033D" w:rsidP="0089033D">
      <w:pPr>
        <w:pStyle w:val="Corpo"/>
        <w:suppressAutoHyphens/>
        <w:spacing w:after="100"/>
        <w:jc w:val="right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</w:pPr>
      <w:bookmarkStart w:id="0" w:name="_GoBack"/>
      <w:bookmarkEnd w:id="0"/>
    </w:p>
    <w:p w14:paraId="5B290686" w14:textId="77777777" w:rsidR="0089033D" w:rsidRPr="00C40B1C" w:rsidRDefault="0089033D">
      <w:pPr>
        <w:pStyle w:val="Corpo"/>
        <w:suppressAutoHyphens/>
        <w:spacing w:after="100" w:line="360" w:lineRule="auto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14:paraId="5734414D" w14:textId="77777777" w:rsidR="00BA6F68" w:rsidRPr="00C40B1C" w:rsidRDefault="00C40B1C">
      <w:pPr>
        <w:pStyle w:val="Corpo"/>
        <w:suppressAutoHyphens/>
        <w:spacing w:after="100" w:line="360" w:lineRule="auto"/>
        <w:rPr>
          <w:rFonts w:ascii="Times New Roman" w:eastAsia="Times New Roman" w:hAnsi="Times New Roman" w:cs="Times New Roman"/>
          <w:b/>
          <w:bCs/>
          <w:smallCaps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1.</w:t>
      </w:r>
      <w:r w:rsidRPr="00C40B1C">
        <w:rPr>
          <w:rFonts w:ascii="Times New Roman" w:eastAsia="Times New Roman" w:hAnsi="Times New Roman" w:cs="Times New Roman"/>
          <w:b/>
          <w:bCs/>
          <w:smallCaps/>
          <w:sz w:val="26"/>
          <w:szCs w:val="26"/>
        </w:rPr>
        <w:tab/>
        <w:t>Segurança jurídica: paradoxos e tentativas de definição</w:t>
      </w:r>
    </w:p>
    <w:p w14:paraId="0ABA1E56" w14:textId="77777777" w:rsidR="00BA6F68" w:rsidRPr="00C40B1C" w:rsidRDefault="00BA6F68">
      <w:pPr>
        <w:pStyle w:val="Corpo"/>
        <w:suppressAutoHyphens/>
        <w:spacing w:after="100" w:line="360" w:lineRule="auto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14:paraId="212A8A48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Definir o conteúdo do princípio da segurança jurídica não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uma tarefa simples. A generalidade e a amplitude desse conceito são as principais dificuldades nessa empreitada. De pronto, </w:t>
      </w:r>
      <w:r w:rsidR="00EE102A" w:rsidRPr="00C40B1C">
        <w:rPr>
          <w:rFonts w:ascii="Times New Roman" w:eastAsia="Times New Roman" w:hAnsi="Times New Roman" w:cs="Times New Roman"/>
          <w:sz w:val="26"/>
          <w:szCs w:val="26"/>
        </w:rPr>
        <w:t>quem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enfrenta essa tarefa depara-se com um paradoxo lógico: em certo sentido, a própria noção do Direito confunde-se com o ideal de conferir uniformidade de tratamento e, consequentemente, previsibilidade às condutas humanas e socais. Nesse sentido, o próprio Direito confunde-se com a noção de segurança jurídica.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7807B91B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Porém a simples afirmação de que a segurança jurídica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dos elementos constitutivos do conceito de “Estado Direito”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não pode ser considerada como uma definição, no sentido lógico. Isso porque os conceitos de “Estado”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 “Direito”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são consideravelmente mais amplos do que o conceito de “segurança”. </w:t>
      </w:r>
      <w:r w:rsidR="00EE102A" w:rsidRPr="00C40B1C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única consequência possível desta atribuição –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“a segurança jurídica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dos elementos constitutivos do Estado de Direito”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será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 conclusão de que a segurança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dos atributos necessários dessa forma de organização política do Estado, não o contrário.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3"/>
      </w:r>
    </w:p>
    <w:p w14:paraId="5B552F8D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Esse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um de muitos exemplos que comprovam a dificuldade da compreensão do tema aqui tratado. </w:t>
      </w:r>
      <w:r w:rsidR="00EE102A" w:rsidRPr="00C40B1C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definição do que seja a “segurança jurídica”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um dos campos em que muitos paradoxos lógicos ocorrem. </w:t>
      </w:r>
      <w:r w:rsidR="00EE102A" w:rsidRPr="00C40B1C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xemplos não faltam.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fácil encontrar afirmações como as de que a segurança jurídica pressupõe um ambiente de relativa “certeza”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4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ou “estabilização”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das relações tuteladas pelo direito. Contudo, a certeza e a estabilidade das relações são aspectos importantes, mas não os únicos, da definição da segurança jurídica. Ademais, elas são inespecíficas, pois “certeza”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 “estabilidade”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nada mais são do que expressões sinônimas ao conceito de segurança.</w:t>
      </w:r>
    </w:p>
    <w:p w14:paraId="6E0E200B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Mas esses problemas não são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lógicos. Neles há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componente jurídico –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 também ideológico –, que precisa ser e questionado.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que uma definição de segurança jurídica que seja mais comprometida com valores fundamentais do indivíduo poderia salientar, por exemplo, a importância dessa noção na preservação de um ambiente de liberdade e espontaneidade na sociedade civil. Nesse sentido, em um dos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papers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Federalistas, encontra-se a seguinte afirmação: “Entre os muitos objetivos para os quais um povo prudente e livre julga necessário dirigir sua atenção, o primeiro parece ser o de prover sua segurança”.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5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EF02E73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Ora, uma das finalidades da previsão constitucional da segurança jurídica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 garantia de uma parcela de liberdade aos sujeitos de direito. Nessa acepção específica, a segurança jurídica nada mais seria que um dos instrumentos voltados a garantir a fruição de direitos do homem (art. 2º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da Declaração Universal dos Direitos do Homem e Cidadão). Por isso,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questionável o fato de que, com raras, mas notáveis, exceções,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6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ainda prevaleça na doutrina uma visão que aceite sem maiores críticas a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identificação da segurança jurídica como uma garantia constitucional de índole estritamente objetiva.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7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F32AD58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 perigo que decorrente dessa inversão de valores não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um fato recente. Ele foi argutamente percebido por </w:t>
      </w: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Montesquieu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que, ao tratar das características da Constituição da Inglaterra, propõe a doutrina da separação dos poderes com fundamento em uma lição eminentemente política: “A liberdade política, num cidadão,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esta tranquilidade de espírito que provém da opinião que cada um possui de sua segurança; e, para que se tenha esta liberdade, cumpre que o governo seja de tal modo, que um cidadão não possa temer outro cidadão”.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8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630F251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Ou seja, a separação dos poderes é, ao mesmo tempo, a fonte e o fundamento da almejada tranquilidade de espírito. </w:t>
      </w:r>
      <w:r w:rsidR="00EE102A" w:rsidRPr="00C40B1C">
        <w:rPr>
          <w:rFonts w:ascii="Times New Roman" w:eastAsia="Times New Roman" w:hAnsi="Times New Roman" w:cs="Times New Roman"/>
          <w:sz w:val="26"/>
          <w:szCs w:val="26"/>
        </w:rPr>
        <w:t>E d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ivisão de funções estatais não é, como querem alguns, um conceito ultrapassado. A separação das funções estatais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o fundamento primeiro de toda a liberdade possível que possa haver em um Estado.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9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737455" w14:textId="77777777" w:rsidR="00C40B1C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Hoje a definição da segurança jurídica contém um complicador adicional. Há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autores que, com fundamento em uma distinção ainda não totalmente clara entre regras e princípios, sustentam que a segurança jurídica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princípio e não uma regra.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0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Nessa linha, haveria uma distinção estrutural entre esses tipos normativos: princípios são mandamentos de otimização, “são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normas que ordenam que algo seja realizado na maior medida possível dentro das possibilidades fáticas e jurídicas existentes.”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1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Regras, por outro lado, são mandamentos de realização, que determinam a aplicação do comando normativo quando a situação fática nele descrita se encontre satisfeita,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2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incidindo por meio da subsunção. </w:t>
      </w:r>
    </w:p>
    <w:p w14:paraId="7ECCF619" w14:textId="6D42CB6D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Na aplicação dos princípios, os fatos importam para a determinação do peso argumentativo das normas que incidirão em cada situação e, nessa hipótese, as razões de ordem fática devem determinar a própria configuração da norma a ser aplicada. Essa conclusão decorre diretamente daquilo que se denomina na doutrina de “regra da precedência condicionada de princípios”.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3"/>
      </w:r>
    </w:p>
    <w:p w14:paraId="180A13C5" w14:textId="77E24C34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Essa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distinção não </w:t>
      </w:r>
      <w:r>
        <w:rPr>
          <w:rFonts w:ascii="Times New Roman" w:eastAsia="Times New Roman" w:hAnsi="Times New Roman" w:cs="Times New Roman"/>
          <w:sz w:val="26"/>
          <w:szCs w:val="26"/>
        </w:rPr>
        <w:t>apresenta diversos problemas dogmáticos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alguns deles observados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pelos próprios defensores da Teoria dos princípios.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5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Isso porque, enquanto mandamentos de realização gradual, os princípios também podem ser realizados ou não em sua totalidade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ausência completa de otimização equivale ao descumprimento do princípio tal qual ocorre quando se descumpre uma regra qualquer e, ao contrário, a realização completa de qualquer otimização equivale ao cumprimento de toda e qualquer regra. </w:t>
      </w:r>
      <w:r>
        <w:rPr>
          <w:rFonts w:ascii="Times New Roman" w:eastAsia="Times New Roman" w:hAnsi="Times New Roman" w:cs="Times New Roman"/>
          <w:sz w:val="26"/>
          <w:szCs w:val="26"/>
        </w:rPr>
        <w:t>Em outras palavras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“Mandamentos de otimizar (ou seja, princípios) tanto podem ser satisfeitos completamente quanto não ser satisfeitos de modo algum. Portanto, princípios são mandamentos definitivos, isto é, eles também são regras”.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6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A53B9D" w14:textId="2DF573F8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Procurou-se contornar essa inconsistência com base na distinção entre o mandamento de otimização, que teria a estrutura de uma regra, e o mandamento a ser otimizado, que representa a facção de aplicação gradual e,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portanto, ponderável, dos princípios.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7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Contudo, a solução não convence, pois, ao dissociar o conteúdo a que se refere a norma de sua estrutura normativa, afirma-se um fato elementar: nem </w:t>
      </w:r>
      <w:r w:rsidR="00CC0ABE">
        <w:rPr>
          <w:rFonts w:ascii="Times New Roman" w:eastAsia="Times New Roman" w:hAnsi="Times New Roman" w:cs="Times New Roman"/>
          <w:sz w:val="26"/>
          <w:szCs w:val="26"/>
        </w:rPr>
        <w:t xml:space="preserve">todo conteúdo normativo pode ser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realizad</w:t>
      </w:r>
      <w:r w:rsidR="00CC0ABE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forma completa e </w:t>
      </w:r>
      <w:r w:rsidR="00CC0ABE">
        <w:rPr>
          <w:rFonts w:ascii="Times New Roman" w:eastAsia="Times New Roman" w:hAnsi="Times New Roman" w:cs="Times New Roman"/>
          <w:sz w:val="26"/>
          <w:szCs w:val="26"/>
        </w:rPr>
        <w:t>integral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Algumas normas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con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é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m um conteúdo ideal, que pode ser realizado em graus. Mas isso não quer dizer que as normas possam ser dissociadas em duas categorias distintas, com estruturas normativas distintas.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8"/>
      </w:r>
    </w:p>
    <w:p w14:paraId="3C6ECE15" w14:textId="77777777" w:rsidR="00CC0ABE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Sendo assim, o fato de a segurança ser realizada e aplicada em graus diferentes, conforme as características encontradas em cada época e sociedade, segundo as possibilidades jurídicas e fáticas presentes, não faz dela um princípio a ser “ponderado”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e manipulado em função da conveniência do interprete. </w:t>
      </w:r>
    </w:p>
    <w:p w14:paraId="3F82B4EF" w14:textId="77777777" w:rsidR="00CC0ABE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Surgem então outros paradoxos, que decorrem da amplitude conceitual da noção de segurança jurídica: sob o manto desse conceito há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tantos e tão variados fenômenos, que eventualmente poderemos nos deparar com casos em que a segurança jurídica entrará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em confronto com ela mesma. </w:t>
      </w:r>
    </w:p>
    <w:p w14:paraId="3EECE814" w14:textId="146412CA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Observe-se o caso em que uma lei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declarada inconstitucional por afronta ao princípio da segurança jurídica. Os exemplos mais utilizados pela doutrina para ilustrar essa situação são as leis excessivamente genéricas ou incompreensíveis.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19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Esses são fenômenos corriqueiros. Mas e se, por hipótese, tais leis vierem a ser declaradas inconstitucionais somente após uma década de vigência? Será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possível invocar a segurança jurídica e, com base no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procedimento que regula a matéria, “modular os efeitos”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de tal decisão? Tais questões serão abordadas no item seguinte.</w:t>
      </w:r>
    </w:p>
    <w:p w14:paraId="21900C47" w14:textId="77777777" w:rsidR="00BA6F68" w:rsidRPr="00C40B1C" w:rsidRDefault="00BA6F68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33BE6F" w14:textId="77777777" w:rsidR="00BA6F68" w:rsidRPr="00C40B1C" w:rsidRDefault="00C40B1C">
      <w:pPr>
        <w:pStyle w:val="Corpo"/>
        <w:suppressAutoHyphens/>
        <w:spacing w:after="1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2.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ab/>
      </w:r>
      <w:r w:rsidRPr="00C40B1C">
        <w:rPr>
          <w:rFonts w:ascii="Times New Roman" w:eastAsia="Times New Roman" w:hAnsi="Times New Roman" w:cs="Times New Roman"/>
          <w:b/>
          <w:bCs/>
          <w:smallCaps/>
          <w:sz w:val="26"/>
          <w:szCs w:val="26"/>
        </w:rPr>
        <w:t>Manifestações da segurança jurídica: a modulação de efeitos e a separação de poderes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21D7C79" w14:textId="77777777" w:rsidR="00BA6F68" w:rsidRPr="00C40B1C" w:rsidRDefault="00BA6F68">
      <w:pPr>
        <w:pStyle w:val="Corpo"/>
        <w:suppressAutoHyphens/>
        <w:spacing w:after="1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3CE0C3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No Brasil, o art. 27 da Lei nº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9.868/99 esboça uma resposta a essas questões. Tal dispositivo legal regula a modulação dos efeitos da declaração de inconstitucionalidade, guarda considerável semelhança com o dispositivo da Constituição Portuguesa que, no art. 282º, nº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4, autoriza o “Tribunal Constitucional fixar os efeitos da inconstitucionalidade ou da ilegalidade”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quando “a segurança jurídica, razões de equidade ou interesse público de excepcional relevo”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o exigirem. Já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o dispositivo da Lei brasileira que regula o processo objetivo de controle de constitucionalidade diz que: “Ao declarar a inconstitucionalidade de lei ou ato normativo, e tendo em ’ista razões de segurança jurídica ou de excepcional interesse social, poderá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o Supremo Tribunal Federal, por maioria de dois terços de seus membros, restringir os efeitos daquela declaração ou decidir que ela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tenha eficácia a partir de seu trânsito em julgado ou de outro momento que venha a ser fixado”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(art. 27, Lei 9.868/99).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0"/>
      </w:r>
    </w:p>
    <w:p w14:paraId="0A87522A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Há, contudo, algumas notáveis diferenças. Primeiro, o dispositivo português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norma constitucional cuja redação e numeração atuais proveem de proposta apresentada pelo então deputado Jorge Miranda à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Comissão de Revisão constitucional de 1982.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1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Segundo, a Lei brasileira não contemplou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expressamente o requisito “equidade”, mas ela também utiliza a fórmula aberta “excepcional interesse social”. Terceiro, o dispositivo português não exige nenhum quórum específico para a modulação dos efeitos da decisão de inconstitucionalidade. Essas diferenças causam relevantes problemas interpretativos.</w:t>
      </w:r>
    </w:p>
    <w:p w14:paraId="0467C704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 mais evidente deles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 aparente inconstitucionalidade do dispositivo da Lei brasileira, “na medida em que interfere nos efeitos inerentes à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sanção de nulidade com que, em nosso sistema jurídico, se combate a inconstitucionalidade legislativa, sanção essa que decorre das características do modelo de fiscalização traçado pela Lei Maior”.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2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C4A88F2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 argumento utilizado para superar essa dificuldade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apontar para o fundamento da operação de modulação de efeitos: na verdade, a modulação de efeitos “não envolve a flexibilização do princípio da supremacia da Constituição, que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postulado lógico do sistema. Trata-se, na verdade, de uma ponderação a ser feita entre a norma constitucional violada e outra norma constitucional: a que protege os efeitos já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produzidos pela lei declarada inconstitucional, postulando mantê-los,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e. g.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em nome da boa-fé, da moralidade ou da segurança jurídica”.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3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Todavia, essa proposta de solução leva a outros problemas.</w:t>
      </w:r>
    </w:p>
    <w:p w14:paraId="727470FF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 primeiro deles surge quando levamos a sério a afirmação de que a modulação de efeitos da decisão de inconstitucionalidade nada mais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do que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uma aplicação das técnicas de ponderação de bens jurídicos. Sabemos que a técnica que geralmente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utilizada para alcançar essa finalidade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 proporcionalidade. A doutrina portuguesa segue esse caminho, afirmando que “a decisão ao abrigo do art. 282º, nº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4, está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condicionada por um princípio de proporcionalidade na sua tríplice vertente”.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4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1FD29B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Assim, para que a modulação dos efeitos da decisão de inconstitucionalidade seja coerentemente aplicada, seria necessário obedecer a um procedimento escalonado em três etapas sucessivas. Na primeira, denominada de adequação, deve-se aferir se a modulação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meio apto a fomentar um valor constitucionalmente protegido. A segunda, caso superada a primeira, exige que a restrição ocasionada pela modulação dos efeitos —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dentre os meios conhecidos —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seja a menos onerosa possível para os destinatários da norma, ou seja, um “ato estatal que limita um direito fundamental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somente necessário caso a realização do objetivo perseguido não possa ser promovida, com a mesma intensidade, por meio de outro ato que limite, em menor medida o direito fundamental atingido”.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5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Essa etapa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denominada de necessidade. </w:t>
      </w:r>
    </w:p>
    <w:p w14:paraId="77DF7AC4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Por fim,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em um terceiro momento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aferida a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proporcionalidade em sentido estrito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, que exige a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ponderação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entre o ônus imposto e o benefício trazido pela medida adotada pelo Poder Público, buscando constatar se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justificável a interferência na esfera de direitos das pessoas, levando-se em consideração a relação custo-benefício. Exige-se, nesse caso, o “sopesamento entre a intensidade da restrição ao direito fundamental atingido e a importância da realização do direito fundamental que com ele colide e que fundamenta a adoção da medida restritiva”.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6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Portanto, nos dois primeiros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passos,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necessário comprovar com base em fatos e dados empíricos que a modulação dos efeitos não infringe a proporcionalidade.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na última etapa deve ocorrer o sopesamento dos valores jurídicos que se encontram em colisão.</w:t>
      </w:r>
    </w:p>
    <w:p w14:paraId="5375B826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Além de excessivamente complexa, tal solução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criticável pois traz consigo o perigo do manejo de valores muitas vezes inconciliáveis e incomensuráveis. A esse respeito, cumpre lembrar a advertência de Carl Schmitt: “Quem afirma a validade de um valor, deve fazê-lo valer. Assim quem diz que algo tem valor, sem dizer o homem que confere tal valor,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quer enganar”.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7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 aqui a ponderação tem consequências política e juridicamente importantes: conferir valor à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segurança jurídica quer dizer retirar valor das demais normas e preceitos previstos na constituição. </w:t>
      </w:r>
    </w:p>
    <w:p w14:paraId="662668E3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Em consequência, atribuir a um órgão jurisdicional a competência para exercer esse tipo de juízo político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admitir a possibilidade da substituição, mesmo que excepcional, de uma tarefa eminentemente legislativa. Supera-se assim a doutrina da separação de poderes, sem que seja criado um modelo de contenção do poder pelo poder igualmente racional e eficiente. Esse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um perigo real, que dificilmente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reconhecido ou considerado pela jurisprudência ou pela doutrina nacionais.</w:t>
      </w:r>
      <w:r w:rsidRPr="00C40B1C">
        <w:rPr>
          <w:rFonts w:ascii="Times New Roman" w:eastAsia="Times New Roman" w:hAnsi="Times New Roman" w:cs="Times New Roman"/>
          <w:sz w:val="26"/>
          <w:szCs w:val="26"/>
          <w:vertAlign w:val="superscript"/>
        </w:rPr>
        <w:footnoteReference w:id="28"/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Essa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justamente a via que leva para a intranquilidade constante de todos os que lidam com a atividade estatal e, especialmente, com a jurisdição constitucional.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assim o caminho não só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para o fim da separação dos poderes, mas também do sentimento de liberdade que deve existir em todos os espíritos dos cidadãos.</w:t>
      </w:r>
    </w:p>
    <w:p w14:paraId="6A92B98F" w14:textId="77777777" w:rsidR="00BA6F68" w:rsidRPr="00C40B1C" w:rsidRDefault="00BA6F68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E58EC6" w14:textId="77777777" w:rsidR="00BA6F68" w:rsidRPr="00C40B1C" w:rsidRDefault="00C40B1C">
      <w:pPr>
        <w:pStyle w:val="Corpo"/>
        <w:suppressAutoHyphens/>
        <w:spacing w:after="10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3.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ab/>
      </w:r>
      <w:r w:rsidRPr="00C40B1C">
        <w:rPr>
          <w:rFonts w:ascii="Times New Roman" w:eastAsia="Times New Roman" w:hAnsi="Times New Roman" w:cs="Times New Roman"/>
          <w:b/>
          <w:bCs/>
          <w:smallCaps/>
          <w:sz w:val="26"/>
          <w:szCs w:val="26"/>
        </w:rPr>
        <w:t>Considerações finais</w:t>
      </w:r>
    </w:p>
    <w:p w14:paraId="16A30405" w14:textId="77777777" w:rsidR="00BA6F68" w:rsidRPr="00C40B1C" w:rsidRDefault="00BA6F68">
      <w:pPr>
        <w:pStyle w:val="Corpo"/>
        <w:suppressAutoHyphens/>
        <w:spacing w:after="1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DDEF3D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Este trabalho procurou abordar as dificuldades inerentes às diversas tentativas de definição do conceito de segurança jurídica. As primeiras delas foram eminentemente lógicas: concebida de forma ampla e abstrata, a segurança jurídica confunde-se com o próprio conceito de Direito. Daí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vem a aporia: como, sem extrapolar os limites da ciência jurídica, definir um conceito que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tão amplo quanto o próprio direito? </w:t>
      </w:r>
    </w:p>
    <w:p w14:paraId="0B2FAC37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Observamos também que, além de aporias lógicas, a definição do conteúdo da segurança jurídica encerra problemas ideológicos importantes. Isso porque a ideia inerente a esse conceito encerra, segundo parcela considerável da doutrina, um componente objetivo e outro subjetivo. O problema está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em que essas dimensões da segurança jurídica muitas vezes entram em conflito. </w:t>
      </w:r>
    </w:p>
    <w:p w14:paraId="3EEE5E2C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A solução parece estar na tentativa de conciliação idealizada pelo gênio de </w:t>
      </w: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Montesquieu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a paz e a segurança do espírito existem sempre que o exercício dos poderes públicos obedeça uma sistemática em que o poder seja controlado pelo próprio poder e o exercício recíproco das faculdades de estatuir e impedir leva à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tendência do repouso e inação dos três poderes. Contudo, como observa o autor, tal paralisia dos poderes constituídos não perdura por muito tempo, vez que “pelo movimento necessário das coisas, eles são obrigados a caminhar”. </w:t>
      </w:r>
    </w:p>
    <w:p w14:paraId="599F8D8F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Ocorre que muitas das tentativas de superar esse estado de inação tendem a desconsiderar o completamente o valor do princípio da separação de poderes. Nesse caso, o remédio tende a matar o paciente. Dois casos paradigmáticos foram analisados aqui. O primeiro deles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a tentativa de separação das normas jurídicas em duas categorias normativas distintas: regras e princípios. Observou-se aqui que tal distinção não tem sustentação jurídica. </w:t>
      </w:r>
    </w:p>
    <w:p w14:paraId="59067D0A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Por fim, este trabalho focou uma hipótese específica em que o conflito a concepção da segurança jurídica como princípio gera conflitos infindáveis.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o caso da modulação temporal dos efeitos das decisões de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>inconstitucionalidade, no qual a segurança jurídica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paradoxalmente concebida como princípio, justamente para que seu valor seja excepcionado. Enfim, como se observou aqui, o perigo que se esconde por detrás dessas construções 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 politização excessiva de uma Corte constitucional que se veja encarregada de “ponderar”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em concreto o valor de princípios fundamentais ao Estado de Direito, tais quais a segurança jurídica. </w:t>
      </w:r>
    </w:p>
    <w:p w14:paraId="68F7DD85" w14:textId="77777777" w:rsidR="00BA6F68" w:rsidRPr="00C40B1C" w:rsidRDefault="00C40B1C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As decisões de um Tribunal como esse serão sempre decisões extremas e excepcionais. São, portanto, decisões que exprimem muito mais do que uma simples aplicação jurisdicional das normas de direito. Trata-se aqui de uma manifestação do próprio poder soberano. A consciência desse fato pode não alterar de imediato a tendência de superação do princípio da separação de poderes, mas ao menos ela torna clara o perigo e o conflito a que o princípio da segurança jurídica se encontra permanentemente exposto.</w:t>
      </w:r>
    </w:p>
    <w:p w14:paraId="2181E569" w14:textId="77777777" w:rsidR="00BA6F68" w:rsidRPr="00C40B1C" w:rsidRDefault="00BA6F68">
      <w:pPr>
        <w:pStyle w:val="Corpo"/>
        <w:suppressAutoHyphens/>
        <w:spacing w:after="100" w:line="360" w:lineRule="auto"/>
        <w:ind w:firstLine="113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4AA92A" w14:textId="77777777" w:rsidR="00BA6F68" w:rsidRPr="00C40B1C" w:rsidRDefault="00C40B1C">
      <w:pPr>
        <w:pStyle w:val="MediumList2-Accent41"/>
        <w:suppressAutoHyphens/>
        <w:spacing w:after="100" w:line="360" w:lineRule="auto"/>
        <w:ind w:left="0"/>
        <w:rPr>
          <w:rFonts w:ascii="Times New Roman" w:eastAsia="Times New Roman" w:hAnsi="Times New Roman" w:cs="Times New Roman"/>
          <w:b/>
          <w:bCs/>
          <w:smallCaps/>
          <w:sz w:val="26"/>
          <w:szCs w:val="26"/>
          <w:lang w:val="pt-BR"/>
        </w:rPr>
      </w:pPr>
      <w:r w:rsidRPr="00C40B1C">
        <w:rPr>
          <w:rFonts w:ascii="Times New Roman" w:eastAsia="Times New Roman" w:hAnsi="Times New Roman" w:cs="Times New Roman"/>
          <w:b/>
          <w:bCs/>
          <w:smallCaps/>
          <w:sz w:val="26"/>
          <w:szCs w:val="26"/>
          <w:lang w:val="pt-BR"/>
        </w:rPr>
        <w:t>Referências bibliográficas</w:t>
      </w:r>
    </w:p>
    <w:p w14:paraId="3E4876B1" w14:textId="77777777" w:rsidR="00BA6F68" w:rsidRPr="00C40B1C" w:rsidRDefault="00BA6F68">
      <w:pPr>
        <w:pStyle w:val="MediumList2-Accent41"/>
        <w:suppressAutoHyphens/>
        <w:spacing w:after="100" w:line="360" w:lineRule="auto"/>
        <w:ind w:left="0"/>
        <w:rPr>
          <w:rFonts w:ascii="Times New Roman" w:eastAsia="Times New Roman" w:hAnsi="Times New Roman" w:cs="Times New Roman"/>
          <w:b/>
          <w:bCs/>
          <w:smallCaps/>
          <w:sz w:val="26"/>
          <w:szCs w:val="26"/>
          <w:lang w:val="pt-BR"/>
        </w:rPr>
      </w:pPr>
    </w:p>
    <w:p w14:paraId="7CFE343F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Alexy,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Robert. “Sobre a estrutura dos princípios fundamentais”, in: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Revista internacional de Direito Tributário,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Belo Horizonte, vol. 3, jan./jul. (2005): 155-167.</w:t>
      </w:r>
    </w:p>
    <w:p w14:paraId="3F274DD2" w14:textId="77777777" w:rsidR="00BA6F68" w:rsidRPr="00C40B1C" w:rsidRDefault="00C40B1C">
      <w:pPr>
        <w:pStyle w:val="Corpo"/>
        <w:suppressAutoHyphens/>
        <w:spacing w:before="120" w:after="12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______.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Teoria dos Direitos Fundamentais.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São Paulo: Malheiros, 2008.</w:t>
      </w:r>
    </w:p>
    <w:p w14:paraId="61E151B8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AMARAL, José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Levi Mello do. “Da Admissibilidade da restrição temporal de efeitos das decisões de inconstitucionalidade em controle concreto”, in: </w:t>
      </w: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Horbach,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Carlos Bastide et all (coord.),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Direito constitucional: estado de direito e democracia: estudos em homenagem ao Professor Manoel Gonçalves Ferreira Filho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São Paulo: Quartier Latin, 2011.</w:t>
      </w:r>
    </w:p>
    <w:p w14:paraId="1C08F748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ÁVILA, Ana Paula.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A modulação dos efeitos temporais pelo STF no controle de constitucionalidade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ponderação e regras de argumentação para a interpretação conforme a Constituição do art. 27 da Lei 9.868/99. Porto Alegre: Livraria do Advogado, 2009.</w:t>
      </w:r>
    </w:p>
    <w:p w14:paraId="1F034D2A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 xml:space="preserve">Ávila,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Humberto.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Segurança jurídica: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entre permanência, mudança e realização do Direito Tributário. São Paulo: Malheiros, 2011.</w:t>
      </w:r>
    </w:p>
    <w:p w14:paraId="5CB40D16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BÄCKER, Carsten. “Regras, princípios e derrotabilidade”, in: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Revista brasileira de estudos políticos,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Belo Horizonte, n. 102, jan./jun. (2011): pp. 55-82.</w:t>
      </w:r>
    </w:p>
    <w:p w14:paraId="0266F41D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Barroso,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Luís Roberto.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Interpretação e aplicação da Constituição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6ª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São Paulo: Saraiva, 2004.</w:t>
      </w:r>
    </w:p>
    <w:p w14:paraId="42AFBE53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______.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O controle de constitucionalidade no Direito Brasileiro.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5ª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São Paulo: Saraiva, 2011.</w:t>
      </w:r>
    </w:p>
    <w:p w14:paraId="6B253C0F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>______. “Mudança na jurisprudência do Supremo Tribunal Federal em matéria tributária: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Segurança jurídica e modulação dos efeitos temporais das decisões judiciais”.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Revista de Direito do Estado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n.º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2, abr./jun. (2006): 261-289. </w:t>
      </w:r>
    </w:p>
    <w:p w14:paraId="0E7E0E5A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 xml:space="preserve">Carvalho Filho,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José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dos Santos.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Manual de Direito Administrativo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23ª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Rio de Janeiro: Lumen Juris, 2010.</w:t>
      </w:r>
    </w:p>
    <w:p w14:paraId="14F952C3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Correia,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Hugo Alexandre Pedro. “Admissibilidade da restrição temporal de efeitos em fiscalização concreta”. MORAIS, Carlos Blanco (coord.),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As sentenças intermédias da Justiça constitucional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estudos luso-brasileiros de Direito Público. Lisboa: AAFDL, 2009.</w:t>
      </w:r>
    </w:p>
    <w:p w14:paraId="3BE8C1EE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FERREIRA FILHO, Manoel Gonçalves.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Princípios fundamentais do Direito constitucional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São Paulo: Saraiva, 2009.</w:t>
      </w:r>
    </w:p>
    <w:p w14:paraId="6B649F0D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Hamilton,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Alexander; </w:t>
      </w: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Jay,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John; </w:t>
      </w: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Madison,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James.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O Federalista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Campinas: Russel, 2009.</w:t>
      </w:r>
    </w:p>
    <w:p w14:paraId="0E369C87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Canotilho,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José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Joaquim Gomes.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Direito Constitucional e teoria da Constituição.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7ª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Coimbra: Coimbra Editora, 2003.</w:t>
      </w:r>
    </w:p>
    <w:p w14:paraId="601FA29C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Miranda,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Jorge.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Manual de Direito Constitucional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Tomo IV –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Direitos fundamentais, 2ª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Coimbra: Coimbra Editora, 1998.</w:t>
      </w:r>
    </w:p>
    <w:p w14:paraId="38AE2406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_____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Manual de Direito Constitucional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Tomo VI –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Inconstitucionalidade e garantia da Constituição, 3ª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Coimbra: Coimbra Editora, 2008.</w:t>
      </w:r>
    </w:p>
    <w:p w14:paraId="0BA8BC7F" w14:textId="77777777" w:rsidR="00BA6F68" w:rsidRPr="00C40B1C" w:rsidRDefault="00C40B1C">
      <w:pPr>
        <w:pStyle w:val="Corpo"/>
        <w:widowControl w:val="0"/>
        <w:tabs>
          <w:tab w:val="left" w:pos="284"/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88" w:lineRule="auto"/>
        <w:jc w:val="both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MONTESQUIEU.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Do espírito das leis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1ª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ed., São Paulo: Abril, 1973.</w:t>
      </w:r>
    </w:p>
    <w:p w14:paraId="6353FE18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POSCHER, Ralf. “Einsichten, Irrtümer und Selbstmissverständnis der Prinzipientheorie”, in: SIECKMANN, Jean-R,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Die prinzipientheorie der grundrechte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Baden-Baden: Nomos, 2007.</w:t>
      </w:r>
    </w:p>
    <w:p w14:paraId="2847D422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Ramos,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Elival da Silva.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Controle de constitucionalidade no Brasil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perspectivas de evolução. São Paulo: Saraiva, 2010.</w:t>
      </w:r>
    </w:p>
    <w:p w14:paraId="66A1E807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lastRenderedPageBreak/>
        <w:t>Sampaio,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Flávia Cerqueira</w:t>
      </w: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. “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Os efeitos diferidos para o futura de uma decisão de inconstitucionalidade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”.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MORAIS, Carlos Blanco (coord.),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As sentenças intermédias da Justiça constitucional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: estudos luso-brasileiros de Direito Público. Lisboa: AAFDL, 2009.</w:t>
      </w:r>
    </w:p>
    <w:p w14:paraId="6C4F3FEA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SIECKMANN, Jan-R.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El modelo de los princípios del derecho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Bogotá: Universidad externado de Colômbia, 2006.</w:t>
      </w:r>
    </w:p>
    <w:p w14:paraId="3753D903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Silva,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Virgílio Afonso da. “O proporcional e o razoável”.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Revista dos Tribunais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São Paulo, v. 798, p. 23-50, 2002.</w:t>
      </w:r>
    </w:p>
    <w:p w14:paraId="26B91C3C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mallCaps/>
          <w:sz w:val="26"/>
          <w:szCs w:val="26"/>
        </w:rPr>
        <w:t>_____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. “Princípios e regras: mitos e equívocos de uma distinção”.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Revista Latino Americana de Estudos Constitucionais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nº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1 (2003): 607-630.</w:t>
      </w:r>
    </w:p>
    <w:p w14:paraId="267D02F7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Silva,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José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Afonso da.</w:t>
      </w:r>
      <w:r w:rsidRPr="00C40B1C">
        <w:rPr>
          <w:rFonts w:ascii="Times New Roman" w:eastAsia="Times New Roman" w:hAnsi="Times New Roman" w:cs="Times New Roman"/>
          <w:i/>
          <w:iCs/>
          <w:smallCaps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Curso de Direito Constitucional Positivo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. 24ª</w:t>
      </w:r>
      <w:r w:rsidRPr="00C40B1C">
        <w:rPr>
          <w:rFonts w:ascii="Times New Roman" w:hAnsi="Times New Roman" w:cs="Times New Roman"/>
          <w:sz w:val="26"/>
          <w:szCs w:val="26"/>
        </w:rPr>
        <w:t xml:space="preserve">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ed. São Paulo, Malheiros, 2005.</w:t>
      </w:r>
    </w:p>
    <w:p w14:paraId="24E7770D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SCHMITT, Carl.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>Die tyrannei der Werte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, Berlim: Duncker und Humblot, 2011.</w:t>
      </w:r>
    </w:p>
    <w:p w14:paraId="5ECF05D6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Novais,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Jorge Reis.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Os princípios constitucionais estruturantes da República Portuguesa.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Coimbra: Coimbra Editora, 2004.</w:t>
      </w:r>
    </w:p>
    <w:p w14:paraId="471FD3F5" w14:textId="77777777" w:rsidR="00BA6F68" w:rsidRPr="00C40B1C" w:rsidRDefault="00C40B1C">
      <w:pPr>
        <w:pStyle w:val="Corpo"/>
        <w:suppressAutoHyphens/>
        <w:spacing w:before="120" w:after="120" w:line="288" w:lineRule="auto"/>
        <w:ind w:left="567" w:hanging="567"/>
        <w:jc w:val="both"/>
        <w:rPr>
          <w:rFonts w:ascii="Times New Roman" w:hAnsi="Times New Roman" w:cs="Times New Roman"/>
          <w:sz w:val="26"/>
          <w:szCs w:val="26"/>
        </w:rPr>
      </w:pPr>
      <w:r w:rsidRPr="00C40B1C">
        <w:rPr>
          <w:rFonts w:ascii="Times New Roman" w:eastAsia="Times New Roman" w:hAnsi="Times New Roman" w:cs="Times New Roman"/>
          <w:caps/>
          <w:sz w:val="26"/>
          <w:szCs w:val="26"/>
        </w:rPr>
        <w:t>Valim,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 xml:space="preserve"> Rafael, </w:t>
      </w:r>
      <w:r w:rsidRPr="00C40B1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Princípio da segurança jurídica no direito administrativo. </w:t>
      </w:r>
      <w:r w:rsidRPr="00C40B1C">
        <w:rPr>
          <w:rFonts w:ascii="Times New Roman" w:eastAsia="Times New Roman" w:hAnsi="Times New Roman" w:cs="Times New Roman"/>
          <w:sz w:val="26"/>
          <w:szCs w:val="26"/>
        </w:rPr>
        <w:t>São Paulo: Malheiros, 2010.</w:t>
      </w:r>
    </w:p>
    <w:sectPr w:rsidR="00BA6F68" w:rsidRPr="00C40B1C">
      <w:headerReference w:type="default" r:id="rId7"/>
      <w:footerReference w:type="default" r:id="rId8"/>
      <w:pgSz w:w="11900" w:h="16840"/>
      <w:pgMar w:top="1418" w:right="1418" w:bottom="1418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DCA88" w14:textId="77777777" w:rsidR="00C40B1C" w:rsidRDefault="00C40B1C">
      <w:r>
        <w:separator/>
      </w:r>
    </w:p>
  </w:endnote>
  <w:endnote w:type="continuationSeparator" w:id="0">
    <w:p w14:paraId="323EED21" w14:textId="77777777" w:rsidR="00C40B1C" w:rsidRDefault="00C4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64AC4" w14:textId="77777777" w:rsidR="00C40B1C" w:rsidRDefault="00C40B1C">
    <w:pPr>
      <w:pStyle w:val="Cabealhoe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34974" w14:textId="77777777" w:rsidR="00C40B1C" w:rsidRDefault="00C40B1C">
      <w:r>
        <w:separator/>
      </w:r>
    </w:p>
  </w:footnote>
  <w:footnote w:type="continuationSeparator" w:id="0">
    <w:p w14:paraId="74F111C5" w14:textId="77777777" w:rsidR="00C40B1C" w:rsidRDefault="00C40B1C">
      <w:r>
        <w:continuationSeparator/>
      </w:r>
    </w:p>
  </w:footnote>
  <w:footnote w:type="continuationNotice" w:id="1">
    <w:p w14:paraId="432281D5" w14:textId="77777777" w:rsidR="00C40B1C" w:rsidRDefault="00C40B1C"/>
  </w:footnote>
  <w:footnote w:id="2">
    <w:p w14:paraId="0BD5B58D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Por isso, Humberto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Ávila </w:t>
      </w:r>
      <w:r>
        <w:rPr>
          <w:rFonts w:ascii="Times New Roman" w:eastAsia="Times New Roman" w:hAnsi="Times New Roman" w:cs="Times New Roman"/>
          <w:sz w:val="20"/>
          <w:szCs w:val="20"/>
        </w:rPr>
        <w:t>afirmou corretamente que “um ordenamento jurídico privado de certeza não poderá, por definição, ser considerado jurídico” (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Segurança jurídica: </w:t>
      </w:r>
      <w:r>
        <w:rPr>
          <w:rFonts w:ascii="Times New Roman" w:eastAsia="Times New Roman" w:hAnsi="Times New Roman" w:cs="Times New Roman"/>
          <w:sz w:val="20"/>
          <w:szCs w:val="20"/>
        </w:rPr>
        <w:t>entre permanência, mudança e realização do Direito Tributário, p. 106).</w:t>
      </w:r>
    </w:p>
  </w:footnote>
  <w:footnote w:id="3">
    <w:p w14:paraId="20A28F68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Reconhecendo tal contradição e buscando refutá-la: Humberto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Ávila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Segurança jurídica: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entre permanência, mudança e realização do Direito Tributário, p. 125. Para Rafael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Valim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“há uma notória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fundamentação recíproca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entre o princípio da segurança jurídica e o Estado de Direito, sendo aquele elemento indispensável deste, ao mesmo em que este é condição necessária daquele” (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Princípio da segurança jurídica no Direito Administrativo brasileiro</w:t>
      </w:r>
      <w:r>
        <w:rPr>
          <w:rFonts w:ascii="Times New Roman" w:eastAsia="Times New Roman" w:hAnsi="Times New Roman" w:cs="Times New Roman"/>
          <w:sz w:val="20"/>
          <w:szCs w:val="20"/>
        </w:rPr>
        <w:t>, p. 34).</w:t>
      </w:r>
    </w:p>
  </w:footnote>
  <w:footnote w:id="4">
    <w:p w14:paraId="17645091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Cf. José Afonso da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Silva, </w:t>
      </w:r>
      <w:r>
        <w:rPr>
          <w:rFonts w:ascii="Times New Roman" w:eastAsia="Times New Roman" w:hAnsi="Times New Roman" w:cs="Times New Roman"/>
          <w:i/>
          <w:iCs/>
          <w:smallCap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Curso de Direito Constitucional Positivo</w:t>
      </w:r>
      <w:r>
        <w:rPr>
          <w:rFonts w:ascii="Times New Roman" w:eastAsia="Times New Roman" w:hAnsi="Times New Roman" w:cs="Times New Roman"/>
          <w:sz w:val="20"/>
          <w:szCs w:val="20"/>
        </w:rPr>
        <w:t>, p. 433.</w:t>
      </w:r>
    </w:p>
  </w:footnote>
  <w:footnote w:id="5">
    <w:p w14:paraId="7E737E99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John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Jay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O Federalista nº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3, in: Alexander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Hamilton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John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Jay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James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Madison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O Federalista, </w:t>
      </w:r>
      <w:r>
        <w:rPr>
          <w:rFonts w:ascii="Times New Roman" w:eastAsia="Times New Roman" w:hAnsi="Times New Roman" w:cs="Times New Roman"/>
          <w:sz w:val="20"/>
          <w:szCs w:val="20"/>
        </w:rPr>
        <w:t>p. 39.</w:t>
      </w:r>
    </w:p>
  </w:footnote>
  <w:footnote w:id="6">
    <w:p w14:paraId="2FCCAF11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Uma delas é o trabalho recentemente publicado por Humberto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Ávila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Segurança jurídica: </w:t>
      </w:r>
      <w:r>
        <w:rPr>
          <w:rFonts w:ascii="Times New Roman" w:eastAsia="Times New Roman" w:hAnsi="Times New Roman" w:cs="Times New Roman"/>
          <w:sz w:val="20"/>
          <w:szCs w:val="20"/>
        </w:rPr>
        <w:t>entre permanência e realização no Direito Tributário, pp. 121 e 122.</w:t>
      </w:r>
    </w:p>
  </w:footnote>
  <w:footnote w:id="7">
    <w:p w14:paraId="5A64DFD6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seguinte exposição de Canotilho é um bom exemplo a esse respeito: “Em geral, considera-se que a segurança jurídica está conexionada com elementos objetivos da ordem jurídica – garantia da estabilidade jurídica, segurança de orientação e realização do direito – enquanto a proteção da confiança se prende mais com as componentes subjetivas da segurança, designadamente a calculabilidade e previsibilidade dos indivíduos em relação aos efeitos jurídicos dos actos dos poderes públicos”. (José Joaquim Gomes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Canotilho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Direito Constitucional e teoria da Constituição, </w:t>
      </w:r>
      <w:r>
        <w:rPr>
          <w:rFonts w:ascii="Times New Roman" w:eastAsia="Times New Roman" w:hAnsi="Times New Roman" w:cs="Times New Roman"/>
          <w:sz w:val="20"/>
          <w:szCs w:val="20"/>
        </w:rPr>
        <w:t>p. 253).</w:t>
      </w:r>
    </w:p>
  </w:footnote>
  <w:footnote w:id="8">
    <w:p w14:paraId="6AEC0B93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O espírito da Leis</w:t>
      </w:r>
      <w:r>
        <w:rPr>
          <w:rFonts w:ascii="Times New Roman" w:eastAsia="Times New Roman" w:hAnsi="Times New Roman" w:cs="Times New Roman"/>
          <w:sz w:val="20"/>
          <w:szCs w:val="20"/>
        </w:rPr>
        <w:t>, p. 157.</w:t>
      </w:r>
    </w:p>
  </w:footnote>
  <w:footnote w:id="9">
    <w:p w14:paraId="7C8509C0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uma abordagem profunda e coerente da doutrina de Montesquieu, ver: Manoel Gonçalves Ferreira Filho,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Princípios fundamentais do Direito Constitucional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p. 251. </w:t>
      </w:r>
    </w:p>
  </w:footnote>
  <w:footnote w:id="10">
    <w:p w14:paraId="16D3F4A0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 fundamento na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Teoria dos Direitos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Fundamentais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Robert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Alexy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propõe uma distinção com base em um critério estrutural. Nesse sentido, princípios são “normas que estabelecem que algo deve ser realizado na maior medida possível, diante das possibilidades fáticas e jurídicas presentes. Por isso são eles chamados de mandamentos de otimização”. Já as regras seriam “deveres e direitos definitivos, ou seja, se uma regra é válida, então deve se realizar exatamente aquilo que ela prescreve, nem mais, nem menos”. (Virgílio Afonso da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Silva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Princípios e regras: mitos e equívocos de uma distinção</w:t>
      </w:r>
      <w:r>
        <w:rPr>
          <w:rFonts w:ascii="Times New Roman" w:eastAsia="Times New Roman" w:hAnsi="Times New Roman" w:cs="Times New Roman"/>
          <w:sz w:val="20"/>
          <w:szCs w:val="20"/>
        </w:rPr>
        <w:t>, pp. 610 e 611).</w:t>
      </w:r>
    </w:p>
  </w:footnote>
  <w:footnote w:id="11">
    <w:p w14:paraId="5C5C6AED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Robert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Alexy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Teoria dos Direitos Fundamentais</w:t>
      </w:r>
      <w:r>
        <w:rPr>
          <w:rFonts w:ascii="Times New Roman" w:eastAsia="Times New Roman" w:hAnsi="Times New Roman" w:cs="Times New Roman"/>
          <w:sz w:val="20"/>
          <w:szCs w:val="20"/>
        </w:rPr>
        <w:t>, p. 90.</w:t>
      </w:r>
    </w:p>
  </w:footnote>
  <w:footnote w:id="12">
    <w:p w14:paraId="607EE6E7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Robert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Alexy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Teoria dos Direitos Fundamentais</w:t>
      </w:r>
      <w:r>
        <w:rPr>
          <w:rFonts w:ascii="Times New Roman" w:eastAsia="Times New Roman" w:hAnsi="Times New Roman" w:cs="Times New Roman"/>
          <w:sz w:val="20"/>
          <w:szCs w:val="20"/>
        </w:rPr>
        <w:t>, p. 91.</w:t>
      </w:r>
    </w:p>
  </w:footnote>
  <w:footnote w:id="13">
    <w:p w14:paraId="7F6D1FD4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Robert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Alexy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Teoria dos Direitos Fundamentais</w:t>
      </w:r>
      <w:r>
        <w:rPr>
          <w:rFonts w:ascii="Times New Roman" w:eastAsia="Times New Roman" w:hAnsi="Times New Roman" w:cs="Times New Roman"/>
          <w:sz w:val="20"/>
          <w:szCs w:val="20"/>
        </w:rPr>
        <w:t>, p. 96.</w:t>
      </w:r>
    </w:p>
  </w:footnote>
  <w:footnote w:id="14">
    <w:p w14:paraId="186B0825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 mesmo sentido, ver: Matthias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Jestaedt, 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doctrine of balancing - its Strengths and weaknesses", in: Matthias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Klatt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Institutionalized reason: the jurisprudence of Robert Alexy</w:t>
      </w:r>
      <w:r>
        <w:rPr>
          <w:rFonts w:ascii="Times New Roman" w:eastAsia="Times New Roman" w:hAnsi="Times New Roman" w:cs="Times New Roman"/>
          <w:sz w:val="20"/>
          <w:szCs w:val="20"/>
        </w:rPr>
        <w:t>, New York: Oxford University Press, 2012, p. 161.</w:t>
      </w:r>
    </w:p>
  </w:footnote>
  <w:footnote w:id="15">
    <w:p w14:paraId="5D243E4B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Robert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Alexy,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Sobre a estrutura dos princípios</w:t>
      </w:r>
      <w:r>
        <w:rPr>
          <w:rFonts w:ascii="Times New Roman" w:eastAsia="Times New Roman" w:hAnsi="Times New Roman" w:cs="Times New Roman"/>
          <w:sz w:val="20"/>
          <w:szCs w:val="20"/>
        </w:rPr>
        <w:t>, pp. 162 e 163.</w:t>
      </w:r>
    </w:p>
  </w:footnote>
  <w:footnote w:id="16">
    <w:p w14:paraId="5276AEB1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Carsten </w:t>
      </w:r>
      <w:r>
        <w:rPr>
          <w:rFonts w:ascii="Times New Roman" w:eastAsia="Times New Roman" w:hAnsi="Times New Roman" w:cs="Times New Roman"/>
          <w:smallCaps/>
          <w:sz w:val="20"/>
          <w:szCs w:val="20"/>
          <w:lang w:val="en-US"/>
        </w:rPr>
        <w:t>Bäcker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Regras, princípios e derrotabilidade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p. 52. No mesmo sentido na doutrina estrangeira, ver: Jan-R. </w:t>
      </w:r>
      <w:r>
        <w:rPr>
          <w:rFonts w:ascii="Times New Roman" w:eastAsia="Times New Roman" w:hAnsi="Times New Roman" w:cs="Times New Roman"/>
          <w:smallCaps/>
          <w:sz w:val="20"/>
          <w:szCs w:val="20"/>
          <w:lang w:val="en-US"/>
        </w:rPr>
        <w:t>Sieckmann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El modelo de los principios del derecho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p. 83. </w:t>
      </w:r>
    </w:p>
  </w:footnote>
  <w:footnote w:id="17">
    <w:p w14:paraId="2E18A846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footnoteRef/>
      </w:r>
      <w:r>
        <w:rPr>
          <w:rFonts w:ascii="Times New Roman"/>
          <w:sz w:val="20"/>
          <w:szCs w:val="20"/>
        </w:rPr>
        <w:t xml:space="preserve"> Essa tentativa foi esbo</w:t>
      </w:r>
      <w:r>
        <w:rPr>
          <w:rFonts w:hAnsi="Times New Roman"/>
          <w:sz w:val="20"/>
          <w:szCs w:val="20"/>
        </w:rPr>
        <w:t>ç</w:t>
      </w:r>
      <w:r>
        <w:rPr>
          <w:rFonts w:ascii="Times New Roman"/>
          <w:sz w:val="20"/>
          <w:szCs w:val="20"/>
        </w:rPr>
        <w:t xml:space="preserve">ada nos textos mais recentes de Robert Alexy. Dentre eles, cito: Robert </w:t>
      </w:r>
      <w:r>
        <w:rPr>
          <w:rFonts w:ascii="Times New Roman"/>
          <w:smallCaps/>
          <w:sz w:val="20"/>
          <w:szCs w:val="20"/>
        </w:rPr>
        <w:t>Alexy</w:t>
      </w:r>
      <w:r>
        <w:rPr>
          <w:rFonts w:ascii="Times New Roman"/>
          <w:sz w:val="20"/>
          <w:szCs w:val="20"/>
        </w:rPr>
        <w:t xml:space="preserve">, </w:t>
      </w:r>
      <w:r>
        <w:rPr>
          <w:rFonts w:hAnsi="Times New Roman"/>
          <w:sz w:val="20"/>
          <w:szCs w:val="20"/>
        </w:rPr>
        <w:t>“</w:t>
      </w:r>
      <w:r>
        <w:rPr>
          <w:rFonts w:ascii="Times New Roman"/>
          <w:sz w:val="20"/>
          <w:szCs w:val="20"/>
        </w:rPr>
        <w:t>A estrutura dos princ</w:t>
      </w:r>
      <w:r>
        <w:rPr>
          <w:rFonts w:hAnsi="Times New Roman"/>
          <w:sz w:val="20"/>
          <w:szCs w:val="20"/>
        </w:rPr>
        <w:t>í</w:t>
      </w:r>
      <w:r>
        <w:rPr>
          <w:rFonts w:ascii="Times New Roman"/>
          <w:sz w:val="20"/>
          <w:szCs w:val="20"/>
        </w:rPr>
        <w:t>pios jur</w:t>
      </w:r>
      <w:r>
        <w:rPr>
          <w:rFonts w:hAnsi="Times New Roman"/>
          <w:sz w:val="20"/>
          <w:szCs w:val="20"/>
        </w:rPr>
        <w:t>í</w:t>
      </w:r>
      <w:r>
        <w:rPr>
          <w:rFonts w:ascii="Times New Roman"/>
          <w:sz w:val="20"/>
          <w:szCs w:val="20"/>
        </w:rPr>
        <w:t>dicos</w:t>
      </w:r>
      <w:r>
        <w:rPr>
          <w:rFonts w:hAnsi="Times New Roman"/>
          <w:sz w:val="20"/>
          <w:szCs w:val="20"/>
        </w:rPr>
        <w:t>”</w:t>
      </w:r>
      <w:r>
        <w:rPr>
          <w:rFonts w:ascii="Times New Roman"/>
          <w:sz w:val="20"/>
          <w:szCs w:val="20"/>
        </w:rPr>
        <w:t xml:space="preserve">, </w:t>
      </w:r>
      <w:r>
        <w:rPr>
          <w:rFonts w:ascii="Times New Roman"/>
          <w:i/>
          <w:iCs/>
          <w:sz w:val="20"/>
          <w:szCs w:val="20"/>
        </w:rPr>
        <w:t>Revista internacional de Direito Tribut</w:t>
      </w:r>
      <w:r>
        <w:rPr>
          <w:rFonts w:hAnsi="Times New Roman"/>
          <w:i/>
          <w:iCs/>
          <w:sz w:val="20"/>
          <w:szCs w:val="20"/>
        </w:rPr>
        <w:t>á</w:t>
      </w:r>
      <w:r>
        <w:rPr>
          <w:rFonts w:ascii="Times New Roman"/>
          <w:i/>
          <w:iCs/>
          <w:sz w:val="20"/>
          <w:szCs w:val="20"/>
        </w:rPr>
        <w:t>rio</w:t>
      </w:r>
      <w:r>
        <w:rPr>
          <w:rFonts w:ascii="Times New Roman"/>
          <w:sz w:val="20"/>
          <w:szCs w:val="20"/>
        </w:rPr>
        <w:t>, Belo Horizonte: Del Rey, v. 3 (2005): 155-167.</w:t>
      </w:r>
    </w:p>
  </w:footnote>
  <w:footnote w:id="18">
    <w:p w14:paraId="02FC5575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Cf.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Ralf </w:t>
      </w:r>
      <w:r>
        <w:rPr>
          <w:rFonts w:ascii="Times New Roman" w:eastAsia="Times New Roman" w:hAnsi="Times New Roman" w:cs="Times New Roman"/>
          <w:smallCaps/>
          <w:sz w:val="20"/>
          <w:szCs w:val="20"/>
          <w:lang w:val="en-US"/>
        </w:rPr>
        <w:t>Poscher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Einsichten, Irrtümer und Selbstmissverständnis der Prinzipientheorie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p. 65. A esse respeito, Jan Henrik </w:t>
      </w:r>
      <w:r>
        <w:rPr>
          <w:rFonts w:ascii="Times New Roman" w:eastAsia="Times New Roman" w:hAnsi="Times New Roman" w:cs="Times New Roman"/>
          <w:smallCaps/>
          <w:sz w:val="20"/>
          <w:szCs w:val="20"/>
          <w:lang w:val="en-US"/>
        </w:rPr>
        <w:t xml:space="preserve">Klement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observou que “[N]ormas funcionam de acordo com um código binário. O comando por elas definido só pode ser satisfeito (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lawful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) ou não (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val="en-US"/>
        </w:rPr>
        <w:t>unlawfull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). Por exemplo, um direito de defesa contra um ato estatal é infringido se a autoridade pública realiza a atividade proibida” (“Common law thinking in german jurisprudence” 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Matthias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Klatt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Institutionalized reason: the jurisprudence of Robert Alexy</w:t>
      </w:r>
      <w:r>
        <w:rPr>
          <w:rFonts w:ascii="Times New Roman" w:eastAsia="Times New Roman" w:hAnsi="Times New Roman" w:cs="Times New Roman"/>
          <w:sz w:val="20"/>
          <w:szCs w:val="20"/>
        </w:rPr>
        <w:t>, New York: Oxford University Press, 2012, p. 177).</w:t>
      </w:r>
    </w:p>
  </w:footnote>
  <w:footnote w:id="19">
    <w:p w14:paraId="25671CAF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Cf. Jorge Reis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Novais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Os princípios constitucionais estruturantes da República Portuguesa, </w:t>
      </w:r>
      <w:r>
        <w:rPr>
          <w:rFonts w:ascii="Times New Roman" w:eastAsia="Times New Roman" w:hAnsi="Times New Roman" w:cs="Times New Roman"/>
          <w:sz w:val="20"/>
          <w:szCs w:val="20"/>
        </w:rPr>
        <w:t>p. 262.</w:t>
      </w:r>
    </w:p>
  </w:footnote>
  <w:footnote w:id="20">
    <w:p w14:paraId="7FC41B5F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dispositivo da Lei que regula a arguição de descumprimento de preceito fundamental é semelhante: “Ao declarar a inconstitucionalidade de lei ou ato normativo, no processo de arguição de descumprimento de preceito fundamental, e tendo em vista razões de segurança jurídica ou de excepcional interesse social, poderá o Supremo Tribunal Federal, por maioria de dois terços de seus membros, restringir os efeitos daquela declaração ou decidir que ela só tenha eficácia a partir de seu trânsito em julgado ou de outro momento que venha a ser fixado” (art. 11, Lei 9.882/99).</w:t>
      </w:r>
    </w:p>
  </w:footnote>
  <w:footnote w:id="21">
    <w:p w14:paraId="215B0C64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uma exposição detalhada desse projeto, ver: Hugo Alexandre Pedro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Correia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Admissibilidade da restrição temporal de efeitos em fiscalização concreta</w:t>
      </w:r>
      <w:r>
        <w:rPr>
          <w:rFonts w:ascii="Times New Roman" w:eastAsia="Times New Roman" w:hAnsi="Times New Roman" w:cs="Times New Roman"/>
          <w:sz w:val="20"/>
          <w:szCs w:val="20"/>
        </w:rPr>
        <w:t>, p. 757.</w:t>
      </w:r>
    </w:p>
  </w:footnote>
  <w:footnote w:id="22">
    <w:p w14:paraId="3CF71BFD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Elival da Silva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Ramos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Controle de constitucionalidade no Brasil: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perspectivas de evolução, p. 300. Flávia Cerqueira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 xml:space="preserve">Sampaio </w:t>
      </w:r>
      <w:r>
        <w:rPr>
          <w:rFonts w:ascii="Times New Roman" w:eastAsia="Times New Roman" w:hAnsi="Times New Roman" w:cs="Times New Roman"/>
          <w:sz w:val="20"/>
          <w:szCs w:val="20"/>
        </w:rPr>
        <w:t>sustenta, de forma semelhante, a “inconstitucionalidade formal do art. 27 da legislação brasileira n. 9.868/99, por ter sido a possibilidade de manipulação dos efeitos da declaração de inconstitucionalidade introduzida por via de lei ordinária, quando deveria ter sido aprovada por emenda constitucional” (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“</w:t>
      </w:r>
      <w:r>
        <w:rPr>
          <w:rFonts w:ascii="Times New Roman" w:eastAsia="Times New Roman" w:hAnsi="Times New Roman" w:cs="Times New Roman"/>
          <w:sz w:val="20"/>
          <w:szCs w:val="20"/>
        </w:rPr>
        <w:t>Os efeitos diferidos para o futuro de uma decisão de inconstitucionalidade”, p. 697).</w:t>
      </w:r>
    </w:p>
  </w:footnote>
  <w:footnote w:id="23">
    <w:p w14:paraId="6EF99392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Luís Roberto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Barroso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Mudança na jurisprudência do Supremo Tribunal Federal em matéria tributária: </w:t>
      </w:r>
      <w:r>
        <w:rPr>
          <w:rFonts w:ascii="Times New Roman" w:eastAsia="Times New Roman" w:hAnsi="Times New Roman" w:cs="Times New Roman"/>
          <w:sz w:val="20"/>
          <w:szCs w:val="20"/>
        </w:rPr>
        <w:t>Segurança jurídica e modulação dos efeitos temporais das decisões judiciais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p. 266. Ver, também, Ana Paula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Ávila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A modulação dos efeitos temporais pelo STF no controle de constitucionalidade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p. 66: “não é a supremacia da Constituição que será ponderada quando está em questão a aplicação do art. 27, pois a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supremacia da Constituição não se sujeita à ponderação e nem é aplicável em graus</w:t>
      </w:r>
      <w:r>
        <w:rPr>
          <w:rFonts w:ascii="Times New Roman" w:eastAsia="Times New Roman" w:hAnsi="Times New Roman" w:cs="Times New Roman"/>
          <w:sz w:val="20"/>
          <w:szCs w:val="20"/>
        </w:rPr>
        <w:t>. Não é uma norma estrutural do sistema constitucional e, se diferente fosse, haveria, sim, uma ruptura de todo este sistema, situação não tolerada pela lógica do Estado Democrático de Direito. É fácil perceber que a supremacia da Constituição não se sujeita à ponderação e nem à satisfação em grau mínimo — ou ela é satisfeita ou não é”.</w:t>
      </w:r>
    </w:p>
  </w:footnote>
  <w:footnote w:id="24">
    <w:p w14:paraId="779F3FFF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Jorge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Miranda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Manual de Direito Constitucional: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inconstitucionalidade e garantia da Constituição, p. 301. O autor fala, aqui, na “tríplice vertente de necessidade, adequação e racionalidade”. Em outra passagem, Jorge Miranda utiliza explicitamente o termo “racionalidade” como sinônimo de “proporcionalidade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stricto sensu</w:t>
      </w:r>
      <w:r>
        <w:rPr>
          <w:rFonts w:ascii="Times New Roman" w:eastAsia="Times New Roman" w:hAnsi="Times New Roman" w:cs="Times New Roman"/>
          <w:sz w:val="20"/>
          <w:szCs w:val="20"/>
        </w:rPr>
        <w:t>” (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Manual de Direito Constitucional</w:t>
      </w:r>
      <w:r>
        <w:rPr>
          <w:rFonts w:ascii="Times New Roman" w:eastAsia="Times New Roman" w:hAnsi="Times New Roman" w:cs="Times New Roman"/>
          <w:sz w:val="20"/>
          <w:szCs w:val="20"/>
        </w:rPr>
        <w:t>: direitos fundamentais, p. 218).</w:t>
      </w:r>
    </w:p>
  </w:footnote>
  <w:footnote w:id="25">
    <w:p w14:paraId="3367127F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Virgílio Afonso da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Silva</w:t>
      </w:r>
      <w:r>
        <w:rPr>
          <w:rFonts w:ascii="Times New Roman" w:eastAsia="Times New Roman" w:hAnsi="Times New Roman" w:cs="Times New Roman"/>
          <w:sz w:val="20"/>
          <w:szCs w:val="20"/>
        </w:rPr>
        <w:t>, “O proporcional e o razoável”, p. 38.</w:t>
      </w:r>
    </w:p>
  </w:footnote>
  <w:footnote w:id="26">
    <w:p w14:paraId="143D6B87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Virgílio Afonso da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Silva</w:t>
      </w:r>
      <w:r>
        <w:rPr>
          <w:rFonts w:ascii="Times New Roman" w:eastAsia="Times New Roman" w:hAnsi="Times New Roman" w:cs="Times New Roman"/>
          <w:sz w:val="20"/>
          <w:szCs w:val="20"/>
        </w:rPr>
        <w:t>, “O proporcional e o razoável”, p. 40.</w:t>
      </w:r>
    </w:p>
  </w:footnote>
  <w:footnote w:id="27">
    <w:p w14:paraId="1352E845" w14:textId="77777777" w:rsidR="00C40B1C" w:rsidRDefault="00C40B1C">
      <w:pPr>
        <w:pStyle w:val="FootnoteText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Carl </w:t>
      </w:r>
      <w:r>
        <w:rPr>
          <w:rFonts w:ascii="Times New Roman" w:eastAsia="Times New Roman" w:hAnsi="Times New Roman" w:cs="Times New Roman"/>
          <w:smallCaps/>
          <w:sz w:val="20"/>
          <w:szCs w:val="20"/>
        </w:rPr>
        <w:t>Schmitt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Die Tyrannei der Werte</w:t>
      </w:r>
      <w:r>
        <w:rPr>
          <w:rFonts w:ascii="Times New Roman" w:eastAsia="Times New Roman" w:hAnsi="Times New Roman" w:cs="Times New Roman"/>
          <w:sz w:val="20"/>
          <w:szCs w:val="20"/>
        </w:rPr>
        <w:t>, p. 41.</w:t>
      </w:r>
    </w:p>
  </w:footnote>
  <w:footnote w:id="28">
    <w:p w14:paraId="6EA56AD1" w14:textId="77777777" w:rsidR="00C40B1C" w:rsidRDefault="00C40B1C">
      <w:pPr>
        <w:pStyle w:val="FootnoteText"/>
        <w:jc w:val="both"/>
      </w:pPr>
      <w:r>
        <w:rPr>
          <w:rFonts w:ascii="Times New Roman" w:eastAsia="Times New Roman" w:hAnsi="Times New Roman" w:cs="Times New Roman"/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Uma exceção é observada no artigo escrito por José Levi Mello do Amaral Júnior: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Da admissimissibilidade da restrição temporal de efeitos das decisões de inconstitucionalidade em controle concreto</w:t>
      </w:r>
      <w:r>
        <w:rPr>
          <w:rFonts w:ascii="Times New Roman" w:eastAsia="Times New Roman" w:hAnsi="Times New Roman" w:cs="Times New Roman"/>
          <w:sz w:val="20"/>
          <w:szCs w:val="20"/>
        </w:rPr>
        <w:t>, p, 440.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EAF07" w14:textId="77777777" w:rsidR="00C40B1C" w:rsidRDefault="00C40B1C">
    <w:pPr>
      <w:pStyle w:val="Corpo"/>
      <w:jc w:val="right"/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PAGE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3E101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6F68"/>
    <w:rsid w:val="003E1010"/>
    <w:rsid w:val="0089033D"/>
    <w:rsid w:val="00BA6F68"/>
    <w:rsid w:val="00C40B1C"/>
    <w:rsid w:val="00CC0ABE"/>
    <w:rsid w:val="00D80ECE"/>
    <w:rsid w:val="00E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10B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noteText">
    <w:name w:val="footnote text"/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customStyle="1" w:styleId="MediumList2-Accent41">
    <w:name w:val="Medium List 2 - Accent 41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2A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noteText">
    <w:name w:val="footnote text"/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customStyle="1" w:styleId="MediumList2-Accent41">
    <w:name w:val="Medium List 2 - Accent 41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0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2A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3057</Words>
  <Characters>17425</Characters>
  <Application>Microsoft Macintosh Word</Application>
  <DocSecurity>0</DocSecurity>
  <Lines>145</Lines>
  <Paragraphs>40</Paragraphs>
  <ScaleCrop>false</ScaleCrop>
  <Company/>
  <LinksUpToDate>false</LinksUpToDate>
  <CharactersWithSpaces>20442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2</cp:revision>
  <dcterms:created xsi:type="dcterms:W3CDTF">2014-03-21T12:00:00Z</dcterms:created>
  <dcterms:modified xsi:type="dcterms:W3CDTF">2014-03-21T12:00:00Z</dcterms:modified>
</cp:coreProperties>
</file>