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15</w:t>
      </w:r>
    </w:p>
    <w:p>
      <w:pPr>
        <w:pStyle w:val="BodyText"/>
        <w:tabs>
          <w:tab w:val="right" w:leader="dot" w:pos="9350"/>
        </w:tabs>
        <w:ind w:left="720"/>
      </w:pPr>
      <w:hyperlink w:anchor="sec2-1">
        <w:r>
          <w:rPr/>
          <w:t xml:space="preserve">2.1 Introduction to the Review</w:t>
        </w:r>
      </w:hyperlink>
      <w:r>
        <w:tab/>
      </w:r>
      <w:r>
        <w:t xml:space="preserve">15</w:t>
      </w:r>
    </w:p>
    <w:p>
      <w:pPr>
        <w:pStyle w:val="BodyText"/>
        <w:tabs>
          <w:tab w:val="right" w:leader="dot" w:pos="9350"/>
        </w:tabs>
        <w:ind w:left="720"/>
      </w:pPr>
      <w:hyperlink w:anchor="sec2-2">
        <w:r>
          <w:rPr/>
          <w:t xml:space="preserve">2.2 Theoretical Framework</w:t>
        </w:r>
      </w:hyperlink>
      <w:r>
        <w:tab/>
      </w:r>
      <w:r>
        <w:t xml:space="preserve">17</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Static Analysis, and Recovery</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32</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47</w:t>
      </w:r>
    </w:p>
    <w:p>
      <w:pPr>
        <w:pStyle w:val="BodyText"/>
        <w:tabs>
          <w:tab w:val="right" w:leader="dot" w:pos="9350"/>
        </w:tabs>
      </w:pPr>
      <w:hyperlink w:anchor="sec-chapter3">
        <w:r>
          <w:rPr/>
          <w:t xml:space="preserve">Chapter 3: METHODOLOGY</w:t>
        </w:r>
      </w:hyperlink>
      <w:r>
        <w:tab/>
      </w:r>
      <w:r>
        <w:t xml:space="preserve">49</w:t>
      </w:r>
    </w:p>
    <w:p>
      <w:pPr>
        <w:pStyle w:val="BodyText"/>
        <w:tabs>
          <w:tab w:val="right" w:leader="dot" w:pos="9350"/>
        </w:tabs>
      </w:pPr>
      <w:hyperlink w:anchor="sec-conceptual-framework">
        <w:r>
          <w:rPr/>
          <w:t xml:space="preserve">Conceptual Framework</w:t>
        </w:r>
      </w:hyperlink>
      <w:r>
        <w:tab/>
      </w:r>
      <w:r>
        <w:t xml:space="preserve">50</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55</w:t>
      </w:r>
    </w:p>
    <w:p>
      <w:pPr>
        <w:pStyle w:val="BodyText"/>
        <w:tabs>
          <w:tab w:val="right" w:leader="dot" w:pos="9350"/>
        </w:tabs>
      </w:pPr>
      <w:hyperlink w:anchor="sec2">
        <w:r>
          <w:rPr/>
          <w:t xml:space="preserve">Section 2: Procedure / Experiment</w:t>
        </w:r>
      </w:hyperlink>
      <w:r>
        <w:tab/>
      </w:r>
      <w:r>
        <w:t xml:space="preserve">67</w:t>
      </w:r>
    </w:p>
    <w:p>
      <w:pPr>
        <w:pStyle w:val="BodyText"/>
        <w:tabs>
          <w:tab w:val="right" w:leader="dot" w:pos="9350"/>
        </w:tabs>
      </w:pPr>
      <w:hyperlink w:anchor="sec3">
        <w:r>
          <w:rPr/>
          <w:t xml:space="preserve">Section 3: System Testing</w:t>
        </w:r>
      </w:hyperlink>
      <w:r>
        <w:tab/>
      </w:r>
      <w:r>
        <w:t xml:space="preserve">84</w:t>
      </w:r>
    </w:p>
    <w:p>
      <w:pPr>
        <w:pStyle w:val="BodyText"/>
        <w:tabs>
          <w:tab w:val="right" w:leader="dot" w:pos="9350"/>
        </w:tabs>
      </w:pPr>
      <w:hyperlink w:anchor="sec-master-references">
        <w:r>
          <w:rPr/>
          <w:t xml:space="preserve">REFERENCES</w:t>
        </w:r>
      </w:hyperlink>
      <w:r>
        <w:tab/>
      </w:r>
      <w:r>
        <w:t xml:space="preserve">108</w:t>
      </w:r>
    </w:p>
    <w:p>
      <w:pPr>
        <w:pStyle w:val="BodyText"/>
        <w:tabs>
          <w:tab w:val="right" w:leader="dot" w:pos="9350"/>
        </w:tabs>
      </w:pPr>
      <w:hyperlink w:anchor="sec-appendices">
        <w:r>
          <w:rPr/>
          <w:t xml:space="preserve">APPENDICES</w:t>
        </w:r>
      </w:hyperlink>
      <w:r>
        <w:tab/>
      </w:r>
      <w:r>
        <w:t xml:space="preserve">115</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31</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53</w:t>
      </w:r>
    </w:p>
    <w:p>
      <w:pPr>
        <w:pStyle w:val="BodyText"/>
        <w:tabs>
          <w:tab w:val="right" w:leader="dot" w:pos="9350"/>
        </w:tabs>
      </w:pPr>
      <w:hyperlink w:anchor="table-3-2">
        <w:r>
          <w:rPr/>
          <w:t xml:space="preserve">Table 3.2: SynapseOS minimum deployment requirements</w:t>
        </w:r>
      </w:hyperlink>
      <w:r>
        <w:tab/>
      </w:r>
      <w:r>
        <w:t xml:space="preserve">53</w:t>
      </w:r>
    </w:p>
    <w:p>
      <w:pPr>
        <w:pStyle w:val="BodyText"/>
        <w:tabs>
          <w:tab w:val="right" w:leader="dot" w:pos="9350"/>
        </w:tabs>
      </w:pPr>
      <w:hyperlink w:anchor="table-3-3">
        <w:r>
          <w:rPr/>
          <w:t xml:space="preserve">Table 3.3: Metrics for the recoverability algorithm, and what each is for</w:t>
        </w:r>
      </w:hyperlink>
      <w:r>
        <w:tab/>
      </w:r>
      <w:r>
        <w:t xml:space="preserve">86</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92</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97</w:t>
      </w:r>
    </w:p>
    <w:p>
      <w:pPr>
        <w:pStyle w:val="BodyText"/>
        <w:tabs>
          <w:tab w:val="right" w:leader="dot" w:pos="9350"/>
        </w:tabs>
      </w:pPr>
      <w:hyperlink w:anchor="appendix-c">
        <w:r>
          <w:rPr/>
          <w:t xml:space="preserve">Table C.1: Custom cross-platform task suite — core tasks</w:t>
        </w:r>
      </w:hyperlink>
      <w:r>
        <w:tab/>
      </w:r>
      <w:r>
        <w:t xml:space="preserve">118</w:t>
      </w:r>
    </w:p>
    <w:p>
      <w:pPr>
        <w:pStyle w:val="BodyText"/>
        <w:tabs>
          <w:tab w:val="right" w:leader="dot" w:pos="9350"/>
        </w:tabs>
      </w:pPr>
      <w:hyperlink w:anchor="appendix-c">
        <w:r>
          <w:rPr/>
          <w:t xml:space="preserve">Table C.2: Boundary tasks — outside shell expressibility</w:t>
        </w:r>
      </w:hyperlink>
      <w:r>
        <w:tab/>
      </w:r>
      <w:r>
        <w:t xml:space="preserve">120</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19</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52</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w:t>
      </w:r>
    </w:p>
    <w:p>
      <w:pPr>
        <w:pStyle w:val="BodyText"/>
      </w:pPr>
      <w:r>
        <w:t xml:space="preserve">The aspiration to remove that translation, and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therefore on a person’s own files.</w:t>
      </w:r>
    </w:p>
    <w:p>
      <w:pPr>
        <w:pStyle w:val="BodyText"/>
      </w:pPr>
      <w:r>
        <w:t xml:space="preserve">In writing the command for a person who could not, language models also move the risk.  The person no longer has to know the command, but neither can they check it, and when a command they did not write and cannot read is wrong, it is their files that are lost.  Whether that loss can be undone depends on what was saved before the command ran.</w:t>
      </w:r>
    </w:p>
    <w:p>
      <w:pPr>
        <w:pStyle w:val="BodyText"/>
      </w:pPr>
      <w:r>
        <w:t xml:space="preserve">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but a rollback restores everything since the snapshot rather than what one command destroyed.  A list judges a command by its name and arguments, so it misses what the command touches through another command or through a target computed at run time; and neither a list nor a snapshot can say, before a command runs, whether the command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nor any shipping tool examined, derives from a generated command’s structure, before it runs, what it would destroy and captures exactly that so that the command can be undone.  That is the gap this study’s research addresses.</w:t>
      </w:r>
    </w:p>
    <w:p>
      <w:pPr>
        <w:pStyle w:val="BodyText"/>
      </w:pPr>
      <w:r>
        <w:t xml:space="preserve">The setting in which this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These gaps are not what this study contributes, but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the terms it rests on, defined here,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w:t>
      </w:r>
      <w:r>
        <w:t xml:space="preserve">on the command, which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Which verdicts the user is asked about is decided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Because the analysis takes a command as a string, it is independent of the interface and of the model that wrote the command.  The interface used here is SynapseOS, a conversational interface layer built for this study over a Linux desktop that keeps running underneath it;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Whether what it destroys can then be restored depends on what was saved before it ran, and the tools that run such commands today do not determine that (Section 1.2).  This study addresses the problem of determining, before a generated shell command runs, what it would change, whether the change can be undone, and the least that must be captured beforehand so that it can be.  The problem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because the analysis takes a shell command as a string, each would stand if the interface were removed.  SynapseOS is therefore the platform rather than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The study follows one design principle: adopt existing software wherever it will serve, and build only what cannot be adopted.  The principle is stated here because it locates the contribution.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background of adopted components,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analysis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commands that destroy data or act outside the filesystem, the analysis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On silent loss the analysis ties a fail-closed list, which asks before every command it does not recognize as read-only, both at zero; its contribution is therefore not the verdict itself but what it restores, and how much less often than the fail-closed list it asks.  Its</w:t>
      </w:r>
      <w:r>
        <w:t xml:space="preserve"> </w:t>
      </w:r>
      <w:r>
        <w:rPr>
          <w:i/>
          <w:iCs/>
        </w:rPr>
        <w:t xml:space="preserve">capture coverage</w:t>
      </w:r>
      <w:r>
        <w:t xml:space="preserve">, the share of those 325 it captured beforehand and that undo then restored exactly, was 89.5%, where the fail-closed list restored none.  Of the 372 commands that lose nothing, it asked about 32 to 45 (9% to 12%, depending on the policy), against the fail-closed list’s 101 (27%): far less often than that list, and not significantly more often than the pattern list (32 to 45 against 30 of 372).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is significant under McNemar’s exact test, which compares two systems on the same commands (each p &lt; 10</w:t>
      </w:r>
      <w:r>
        <w:rPr>
          <w:vertAlign w:val="superscript"/>
        </w:rPr>
        <w:t xml:space="preserve">−42</w:t>
      </w:r>
      <w:r>
        <w:t xml:space="preserve">), and silent loss stays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implemented as a single binary running over an unmodified desktop session, in which the analysis is deployed.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participants, from novice users to power users, operate the platform on matched tasks.  It measures how the analysis’s decisions hold on commands people cause — silent loss, verified restoration, and needless confirmation in live use — and, as characterizations of the platform, task success, time, error rate, and workload against each participant’s own primary operating system.</w:t>
      </w:r>
    </w:p>
    <w:p>
      <w:pPr>
        <w:pStyle w:val="FirstParagraph"/>
      </w:pPr>
      <w:r>
        <w:t xml:space="preserve">Because the research contribution is evaluated against a labeled command corpus, independently of any participant, the platform and its validation are reported separately from it,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across their presets, let 73% to 97% of the file-destroying commands run with neither a confirmation nor a capture, and even a pattern list built for this study as a baseline let 31% through (Section 1.5) [21, 32].  The recoverability analysis adds what a list cannot: a capture, taken before the command runs, from which the command can be undone.  It can be placed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Its subject matter is program analysis applied to shell commands, and it draws on natural language processing, LLM-based reasoning, Linux system integration, and human-computer interaction for the setting in which the analysis is deployed.  The analysis covers commands in the bash dialect on a Debian system: their effects on the filesystem, and the changes they make to package and service state through apt, dpkg, and systemd.  It is evaluated on a corpus of 777 commands drawn from NL2Bash, from templates covering each composition operator, and from tools whose effects lie outside the filesystem, and ablation on the same corpus measures what composition and runtime-target resolution each contribute.</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participants spanning novice computer users to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Second, some of what the analysis relies on rests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its composition builds on rather than replaces.  It resolves a command’s targets shortly before the command runs, so a file changed by another process in the interval is captured as it was when resolved.  Undo restored 630 of the 631 commands executed in the recovery check, the one failure being reported in Chapter 3; and testing after the evaluation found seven defects in the analysis and one in its undo, all fixed and none triggered by any command in the corpus, so that re-running it changed no result (Chapter 3, Section 3.1(d)).  Third, the corpus bounds what the evaluation shows.  It consists of human-written commands from NL2Bash, templates written by the same team that wrote the analysis’s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The corpus was also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that result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analysis does not ask less often than the pattern list, which it does not significantly exceed (32 to 45 against 30 of 372), or than the coding-agent checks (1 to 15); and the deployed gate, which also consults the pattern list, asks about 58 to 67 (16% to 18%), still well below the fail-closed list’s 27%.  How often the user is asked also depends on policy: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  Seventh,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26/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Because LLM outputs may be unintended or unexplainable, the authors note, guardrails are required for user error recovery, and they leave two problems as open work: the design of recovery and rollback mechanisms for irreversible system operations, and the empirical user evaluation of the approach.  The present study’s recoverability analysis addresses the first, recovery from an operation already approved; its validation in use takes up the second.</w:t>
      </w:r>
    </w:p>
    <w:p>
      <w:pPr>
        <w:pStyle w:val="BodyText"/>
      </w:pPr>
      <w:r>
        <w:t xml:space="preserve">What ships follows the same design.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The files on a personal computer, which is the setting of this study, have no such safeguard.</w:t>
      </w:r>
    </w:p>
    <w:p>
      <w:pPr>
        <w:pStyle w:val="BodyText"/>
      </w:pPr>
      <w:r>
        <w:t xml:space="preserve">Every shipped guard surveyed decides by</w:t>
      </w:r>
      <w:r>
        <w:t xml:space="preserve"> </w:t>
      </w:r>
      <w:r>
        <w:rPr>
          <w:i/>
          <w:iCs/>
        </w:rPr>
        <w:t xml:space="preserve">permission</w:t>
      </w:r>
      <w:r>
        <w:t xml:space="preserve">: through allow-and-deny lists over command prefixes, the command is matched against an enumerated set of patterns judged dangerous and is then allowed, refused, or escalated to the user.  NaSh [13] goes further as a proposal, adding summaries of what a command would affect and selective undo to its guardrails, but leaves the mechanisms for both open.  A permission model answers whether a command may run; it does not answer whether, having run, the command can be undone, and those are different questions with different answers.  Refusing a command protects a user only until they approve it, which, for any system that must let work proceed, is most of the time.  This gap, which the guards share, is the one this study’s algorithmic contribution addresses.</w:t>
      </w:r>
    </w:p>
    <w:p>
      <w:pPr>
        <w:pStyle w:val="BodyText"/>
      </w:pPr>
      <w:r>
        <w:t xml:space="preserve">The distinction between permission and undo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comparison that matters is also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and the study therefore claims what the analysis adds to the fail-closed list — capturing what would be lost so that undo restores it, and asking far less often, both of which composition and resolution make possible — and not the verdict alone.  Determining recoverability over a composed command, and computing the minimal information needed to reverse it, is the open problem this study takes up (RQ1–RQ3), and it is what separates the present work from the guardrail designs surveyed above.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it is not concerned with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That is exactly the kind of ground-truth semantics against which a static effect analysis would need to be checked, but Smoosh stops at defining the semantics rather than analyzing programs written in it.  Closest of the three is CoLiS [2], which applies symbolic execution to the more than twenty-seven thousand POSIX-shell maintainer scripts in the Debian package archive, scripts that run with root privileges during install, upgrade, and removal, to find violations of the properties Debian policy requires of them;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w:t>
      </w:r>
      <w:r>
        <w:t xml:space="preserve"> </w:t>
      </w:r>
      <w:r>
        <w:rPr>
          <w:i/>
          <w:iCs/>
        </w:rPr>
        <w:t xml:space="preserve">rm -rf /var/cache/pkg</w:t>
      </w:r>
      <w:r>
        <w:t xml:space="preserve"> </w:t>
      </w:r>
      <w:r>
        <w:t xml:space="preserve">is idempotent, since running it twice does no more damage than once, and it is destructive, since nothing restores what it removes unless that was captured before the first run.  Conversely,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of the three,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on a filesystem without copy-on-write, such as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Versioning file systems, the second kind,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among them a</w:t>
      </w:r>
      <w:r>
        <w:t xml:space="preserve"> </w:t>
      </w:r>
      <w:r>
        <w:rPr>
          <w:rStyle w:val="VerbatimChar"/>
        </w:rPr>
        <w:t xml:space="preserve">find -exec</w:t>
      </w:r>
      <w:r>
        <w:t xml:space="preserve"> </w:t>
      </w:r>
      <w:r>
        <w:t xml:space="preserve">suggested by a language model that deletes a user’s files.  It is the closest prior work to the analysis’s dry runs, and the two differ in where the knowledge comes from. </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 </w:t>
      </w:r>
      <w:r>
        <w:t xml:space="preserve"> </w:t>
      </w:r>
      <w:r>
        <w:rPr>
          <w:i/>
          <w:iCs/>
        </w:rPr>
        <w:t xml:space="preserve">try</w:t>
      </w:r>
      <w:r>
        <w:t xml:space="preserve"> </w:t>
      </w:r>
      <w:r>
        <w:t xml:space="preserve">[22], which is not a recovery mechanism, previews a command only by running it and leaving its effects for the user to judge.  None derives from a command’s structure what it would destroy or captures what is needed to undo it, and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Nor do the recent systems nearest that ambition fill the gap: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The bottleneck is a property of the graphical-simulation approach specifically.  A command-line approach, which grounds intent into shell commands rather than into on-screen pixel regions, sidesteps it, at the cost of being bounded by what is expressible on the command line.  Direct comparison usefully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to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the same basic mechanism the present study adopts.  These tools are excluded from Table 2.2 not because they are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they are powered by large models hosted on remote infrastructure.  SynapseOS differs on both axes: it is addressed to any user of the machine regardless of command-line fluency, and it runs a locally hosted small language model rather than depending on the cloud.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and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NaSh [13], is worth stating directly.  NaSh proposes guardrails for an LLM-powered natural language shell — generated code that remains analyzable, selective undo, and summaries of what a command would affect — as a design position, and it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beginning with the primary one: the evaluation of the algorithm, which follows established practice for judging a program analysis.  A sound analysis is judged first by what it misses, its false negatives, and only then by what its false alarms cost, since soundness is the property it claims [8]; silent loss is therefore the primary measure and needless confirmation the cost.  For every command that acts on files, ground truth is observed by execution rather than assigned by judges, and the 80 commands whose effects lie outside the filesystem are labeled from a fixed table.  Execution is the standard by which executable semantics of the shell are validated against what shells actually do [12], and it also underlies the scoring of generated Bash commands against what was intended [47].  Part of the corpus comes from a public dataset, NL2Bash [24], so that the evaluation does not rest only on commands written by the people who wrote the analysis.  The claim that particular components produce the result is tested by ablation, rerunning the analysis with each switched off.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rest of the methodological literature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they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using each participant’s most familiar environment as the comparison condition rather than a fixed alternative that may be unfamiliar, so that no participant is measured on an environment they have not used.  This strengthens the ecological validity that the benchmark-only evaluations in the surveyed literature lack; because familiarity then favors the baseline, however, the comparison characterizes the platform against each participant’s practiced environment rather than isolating interface quality (Chapter 3, Section 1.2(d)).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Finally,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Around that basis, the command guards of natural-language shells and coding agents [13, 21, 32] decide by permission rather than by effect; the static analyses of shell programs [2, 12, 28] target properties adjacent to recoverability but not recoverability itself; and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natural-language and LLM-mediated interfaces to personal computing across nearly four decades, organized here along a four-layer pipeline of Input, Reasoning, Action, and Operating-System Integration.  Its historical foundations established the long-standing aspiration to a natural-language interface to a real operating system [49] and the methodological shift, driven by in-context reasoning [51], that made the current generation of systems possible.  Against that aspiration, the critique of natural-language interaction from direct manipulation [7, 18, 27, 31, 41–43], together with the controlled comparison of Whiteside and colleagues [48], cautions that a conversational interface must earn its place, a caution that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Finally,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and every shipped recovery restoring by snapshot, and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6/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SynapseOS offers three interface modes, all of them deliverables of this study.  The user study evaluates SynapseOS in GUI mode, which requires a graphical desktop environment and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holds commands whose effect lies outside the filesystem, described under (b) below.  The fourth holds commands the deployed model itself wrote: the NL2Bash descriptions of a random sample of tasks are given to the prototype’s model with the runtime’s own prompt, and the command it returns is labeled by the same pipeline.  This partition is reported apart for two reasons: a set drawn from this prototype’s own output is biased toward the shapes it produces, and the analysis is about model-generated commands, which NL2Bash’s human-written ones are not.  Commands logged during the validation study are scored the same way (Section 3.5(e)).</w:t>
      </w:r>
    </w:p>
    <w:p>
      <w:pPr>
        <w:pStyle w:val="BodyText"/>
      </w:pPr>
      <w:r>
        <w:t xml:space="preserve">The corpus is also stratified by the shape of each command, which the generator assigns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shapes is given the first that applies, in the order hidden, run-time, chain, redirect, single.  Because the shape follows the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and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whereas OSWorld’s own environment is an Ubuntu virtual machine [50], so its shell-expressible tasks are adapted to the Debian evaluation machine.  Each benchmark task is supplied to SynapseOS as a natural language instruction and executed through the conversational interface; results are captured programmatically through the built-in telemetry system,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Since OSWorld scores the resulting system state rather than a human operator’s performance,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Under a within-subjects design, each participant completes a matched task set on both machines.  Completing the identical task twice would measure recall rather than interface efficiency, so two parallel task forms, Set A and Set B, are constructed; they are matched item for item on category, difficulty level, and number of required steps, and differ only in the specific targets involved.  Form and condition order are crossed in a 2×2 counterbalance, yielding four participant groups of ten: Set A first on SynapseOS, Set B first on SynapseOS, Set A first on the native OS, and Set B first on the native OS.  Each enrolled participant is allocated to one of the four by block randomization from a recorded seed, in blocks of four stratified by primary OS, so that order and form are not confounded with proficiency or operating system; task order within a form is randomized per participant.  Form equivalence is verified during the pilot study, and condition order is retained as a between-subjects factor in the analysis.  Counterbalancing redistributes carryover but does not remove it, and asymmetric transfer — carryover that is larger in one order than the other — cannot be separated from the order effect in a two-period design; it is therefore limited by the parallel forms and stated as a limitation rather than tested (Section 3.7).  Screen capture software records activity on both machines, and in the SynapseOS condition the SynapseOS session logger supplements the recording.</w:t>
      </w:r>
    </w:p>
    <w:p>
      <w:pPr>
        <w:pStyle w:val="BodyText"/>
      </w:pPr>
      <w:r>
        <w:t xml:space="preserve">The study involves 40 participants spanning the range of computing proficiency.  At one end are</w:t>
      </w:r>
      <w:r>
        <w:t xml:space="preserve"> </w:t>
      </w:r>
      <w:r>
        <w:rPr>
          <w:b/>
          <w:bCs/>
        </w:rPr>
        <w:t xml:space="preserve">novice users</w:t>
      </w:r>
      <w:r>
        <w:t xml:space="preserve">, recruited from the general university population: they have limited computing experience, are capable only of basic tasks such as web browsing and document editing, and have no command-line familiarity.  At the other end are</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everyone in between is included as well.  Rather than being assigned to a group, each participant is measured by the proficiency score of Section 1.4, and every enrolled participant is analyzed.</w:t>
      </w:r>
    </w:p>
    <w:p>
      <w:pPr>
        <w:pStyle w:val="BodyText"/>
      </w:pPr>
      <w:r>
        <w:t xml:space="preserve">Participants are recruited through university channels, and ethics approval is secured before recruitment begins.  Recruitment enforces a minimum quota of four of the forty participants per primary OS background (Windows, macOS, Linux), so that the realized set cannot end up concentrated in a single OS and leave the per-OS exploratory subgroup analysis (Section 3.4) without data for the others.  It also aims for a spread of proficiency, with at least fifteen of the forty reporting basic and at least fifteen reporting advanced proficiency on their primary OS, so that the proficiency score of Section 1.4 spans its range.  Within these quotas, every eligible volunteer is enrolled on a first-come basis until forty are reached, and a quota still unmet at the end is reported as a limitation.  Because a daily Linux user with basic proficiency is uncommon, if the Linux quota cannot include one, it is met from more proficient users, and the resulting imbalance is reported rather than concealed.  Consent is given in two stages: a short screening consent at sign-up, covering the screening questionnaire and screener call, how the volunteer’s data are kept, and their destruction if the volunteer is not enrolled; and the full informed consent (Appendix F) at the start of the session.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Each volunteer completes a screening questionnaire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contribution does not lie in the verdict, since on silent loss the fail-closed list, which asks before every command it does not recognize as read-only, reaches the same outcome on the commands studied.  It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The soundness claim itself carries two limits.  First, resolution runs commands before the user has consented, which is safe only because each is proven to have no effects.  Second,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afterwards.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Composition therefore has two parts,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is run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Only one removal of pre-existing data needs no capture: a rename or move, because the same data survives at the destination and undo is moving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of them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for each path the cheapest mechanism that suffices puts each per-path cost at its minimum,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60–250 ms even when nothing, or exactly one file, had changed since the last one, because deciding what to hardlink means visiting every entry in the tree regardless of what changed.  The capture plan for a comparable single-file command took 0–20 ms, since its cost is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each was drawn after fixing what the recovery check on the one before it exposed.  Round 4 (778 commands, seed 20260922) was for development.  Round 5 (772 commands, seed 20260923) drove the recovery check and led to fixing two undo defects.  The recovery check on round 6 (776 commands, seed 20260924) found five further undo defects, which were then fixed: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Round 7 (777 commands, seed 20260925: 450 from NL2Bash, 247 from templates, 80 external; 325 executable losses) is the corpus whose figures are reported below; it was drawn after the analysis and the undo were both frozen, with the analyzer’s hash and the corpus’s hash recorded, and run once.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below are unchanged.</w:t>
      </w:r>
    </w:p>
    <w:p>
      <w:pPr>
        <w:pStyle w:val="BodyText"/>
      </w:pPr>
      <w:r>
        <w:t xml:space="preserve">On the round-7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Where the fail-closed list and the analysis differ is in how often they ask.  The fail-closed list asked on every one of the 325 executable losses and captured nothing for any of them, and it asked on 101 of the 372 commands that lose nothing (27%).  The analysis asked on 45 of those 372 under the strict policy (12%) and 32 under the capture policy (9%), and the pattern list on 30 (8%).  The two policies differ only in whether the user is asked, so capture coverage, reported below, is the same under both; the ablations in Section 3.2 are read under the capture policy.  On needless confirmation, then,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about 45 (adjusted p = 0.13).  RQ4’s third part is therefore answered yes against the fail-closed list and no against the pattern list: the analysis is not shown to ask more often than the list, and in exchange it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the capture coverage of each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as restored every loss it planned a capture for;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that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These pooled figures hold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The partition was generated during round 6, the third corpus above, and scored then with that round’s analyzer and undo; it was scored again with the final analyzer and its undo, after the seven defects found after round 7 were fixed, which changed none of its 720 decisions (180 commands under each of the four systems scored) and none of the figures below.  On the 19 losses and the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and not observed, so its labels are only as good as the table, as the model-generated partition’s one error shows.  Fourth,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threats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by contrast, proceeds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the Shapiro-Wilk test is applied to assess normality of each distribution before the appropriate inferential test is selected: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For description, results are also shown for the lowest and highest thirds of the score.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which is binary per task, is modeled by a logistic mixed model and completion time by a linear mixed model on its logarithm, both with crossed random intercepts for participant and task; the SUS and NASA-TLX scores, which are taken once per condition, are modeled by a linear mixed model with a random intercept for participant.  The condition term of the completion-time model is the confirmatory test, and those of the other three models are secondary,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So are the telemetry measures of Section 1.1(d) that are not otherwise analyzed (command latency and conversational turns per task), which are reported as means with confidence intervals per condition.</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2 with the other condition and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2026-10-12T20:48:43Z</dcterms:created>
  <dcterms:modified xsi:type="dcterms:W3CDTF">2026-10-12T20:48:43Z</dcterms:modified>
</cp:coreProperties>
</file>

<file path=docProps/custom.xml><?xml version="1.0" encoding="utf-8"?>
<Properties xmlns="http://schemas.openxmlformats.org/officeDocument/2006/custom-properties" xmlns:vt="http://schemas.openxmlformats.org/officeDocument/2006/docPropsVTypes"/>
</file>