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SynapseOS: Recoverability Analysis of Language-Model-Generated Shell Commands in a Conversational Interface Layer</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pPr>
      <w:hyperlink w:anchor="title-page">
        <w:r>
          <w:rPr>
            <w:rStyle w:val="Hyperlink"/>
          </w:rPr>
          <w:t xml:space="preserve">TITLE PAGE</w:t>
        </w:r>
      </w:hyperlink>
      <w:r>
        <w:t xml:space="preserve">i</w:t>
      </w:r>
    </w:p>
    <w:p>
      <w:pPr>
        <w:pStyle w:val="BodyText"/>
      </w:pPr>
      <w:hyperlink w:anchor="approval-page">
        <w:r>
          <w:rPr>
            <w:rStyle w:val="Hyperlink"/>
          </w:rPr>
          <w:t xml:space="preserve">APPROVAL PAGE</w:t>
        </w:r>
      </w:hyperlink>
      <w:r>
        <w:t xml:space="preserve">ii</w:t>
      </w:r>
    </w:p>
    <w:p>
      <w:pPr>
        <w:pStyle w:val="BodyText"/>
      </w:pPr>
      <w:hyperlink w:anchor="acknowledgement-page">
        <w:r>
          <w:rPr>
            <w:rStyle w:val="Hyperlink"/>
          </w:rPr>
          <w:t xml:space="preserve">ACKNOWLEDGEMENT</w:t>
        </w:r>
      </w:hyperlink>
      <w:r>
        <w:t xml:space="preserve">iii</w:t>
      </w:r>
    </w:p>
    <w:p>
      <w:pPr>
        <w:pStyle w:val="BodyText"/>
      </w:pPr>
      <w:hyperlink w:anchor="master-toc">
        <w:r>
          <w:rPr>
            <w:rStyle w:val="Hyperlink"/>
          </w:rPr>
          <w:t xml:space="preserve">TABLE OF CONTENTS</w:t>
        </w:r>
      </w:hyperlink>
      <w:r>
        <w:t xml:space="preserve">iv</w:t>
      </w:r>
    </w:p>
    <w:p>
      <w:pPr>
        <w:pStyle w:val="BodyText"/>
      </w:pPr>
      <w:hyperlink w:anchor="list-of-tables">
        <w:r>
          <w:rPr>
            <w:rStyle w:val="Hyperlink"/>
          </w:rPr>
          <w:t xml:space="preserve">LIST OF TABLES</w:t>
        </w:r>
      </w:hyperlink>
      <w:r>
        <w:t xml:space="preserve">vi</w:t>
      </w:r>
    </w:p>
    <w:p>
      <w:pPr>
        <w:pStyle w:val="BodyText"/>
      </w:pPr>
      <w:hyperlink w:anchor="list-of-figures">
        <w:r>
          <w:rPr>
            <w:rStyle w:val="Hyperlink"/>
          </w:rPr>
          <w:t xml:space="preserve">LIST OF FIGURES</w:t>
        </w:r>
      </w:hyperlink>
      <w:r>
        <w:t xml:space="preserve">vii</w:t>
      </w:r>
    </w:p>
    <w:p>
      <w:pPr>
        <w:pStyle w:val="BodyText"/>
      </w:pPr>
      <w:hyperlink w:anchor="sec-chapter1">
        <w:r>
          <w:rPr>
            <w:rStyle w:val="Hyperlink"/>
          </w:rPr>
          <w:t xml:space="preserve">Chapter 1: INTRODUCTION</w:t>
        </w:r>
      </w:hyperlink>
      <w:r>
        <w:t xml:space="preserve">1</w:t>
      </w:r>
    </w:p>
    <w:p>
      <w:pPr>
        <w:pStyle w:val="BodyText"/>
      </w:pPr>
      <w:hyperlink w:anchor="sec1-1">
        <w:r>
          <w:rPr>
            <w:rStyle w:val="Hyperlink"/>
          </w:rPr>
          <w:t xml:space="preserve">1.1 Background of the Study</w:t>
        </w:r>
      </w:hyperlink>
      <w:r>
        <w:t xml:space="preserve">1</w:t>
      </w:r>
    </w:p>
    <w:p>
      <w:pPr>
        <w:pStyle w:val="BodyText"/>
      </w:pPr>
      <w:hyperlink w:anchor="sec1-1-gap">
        <w:r>
          <w:rPr>
            <w:rStyle w:val="Hyperlink"/>
          </w:rPr>
          <w:t xml:space="preserve">Gap and Opportunity</w:t>
        </w:r>
      </w:hyperlink>
      <w:r>
        <w:t xml:space="preserve">3</w:t>
      </w:r>
    </w:p>
    <w:p>
      <w:pPr>
        <w:pStyle w:val="BodyText"/>
      </w:pPr>
      <w:hyperlink w:anchor="sec1-2">
        <w:r>
          <w:rPr>
            <w:rStyle w:val="Hyperlink"/>
          </w:rPr>
          <w:t xml:space="preserve">1.2 Statement of the Problem</w:t>
        </w:r>
      </w:hyperlink>
      <w:r>
        <w:t xml:space="preserve">5</w:t>
      </w:r>
    </w:p>
    <w:p>
      <w:pPr>
        <w:pStyle w:val="BodyText"/>
      </w:pPr>
      <w:hyperlink w:anchor="sec1-3">
        <w:r>
          <w:rPr>
            <w:rStyle w:val="Hyperlink"/>
          </w:rPr>
          <w:t xml:space="preserve">1.3 Objectives of the Study</w:t>
        </w:r>
      </w:hyperlink>
      <w:r>
        <w:t xml:space="preserve">6</w:t>
      </w:r>
    </w:p>
    <w:p>
      <w:pPr>
        <w:pStyle w:val="BodyText"/>
      </w:pPr>
      <w:hyperlink w:anchor="sec1-4">
        <w:r>
          <w:rPr>
            <w:rStyle w:val="Hyperlink"/>
          </w:rPr>
          <w:t xml:space="preserve">1.4 Contributions of the Study</w:t>
        </w:r>
      </w:hyperlink>
      <w:r>
        <w:t xml:space="preserve">8</w:t>
      </w:r>
    </w:p>
    <w:p>
      <w:pPr>
        <w:pStyle w:val="BodyText"/>
      </w:pPr>
      <w:hyperlink w:anchor="sec1-5">
        <w:r>
          <w:rPr>
            <w:rStyle w:val="Hyperlink"/>
          </w:rPr>
          <w:t xml:space="preserve">1.5 Significance of the Study</w:t>
        </w:r>
      </w:hyperlink>
      <w:r>
        <w:t xml:space="preserve">11</w:t>
      </w:r>
    </w:p>
    <w:p>
      <w:pPr>
        <w:pStyle w:val="BodyText"/>
      </w:pPr>
      <w:hyperlink w:anchor="sec1-6">
        <w:r>
          <w:rPr>
            <w:rStyle w:val="Hyperlink"/>
          </w:rPr>
          <w:t xml:space="preserve">1.6 Scope and Limitations of the Study</w:t>
        </w:r>
      </w:hyperlink>
      <w:r>
        <w:t xml:space="preserve">12</w:t>
      </w:r>
    </w:p>
    <w:p>
      <w:pPr>
        <w:pStyle w:val="BodyText"/>
      </w:pPr>
      <w:hyperlink w:anchor="sec-chapter2">
        <w:r>
          <w:rPr>
            <w:rStyle w:val="Hyperlink"/>
          </w:rPr>
          <w:t xml:space="preserve">Chapter 2: REVIEW OF RELATED LITERATURE</w:t>
        </w:r>
      </w:hyperlink>
      <w:r>
        <w:t xml:space="preserve">16</w:t>
      </w:r>
    </w:p>
    <w:p>
      <w:pPr>
        <w:pStyle w:val="BodyText"/>
      </w:pPr>
      <w:hyperlink w:anchor="sec2-1">
        <w:r>
          <w:rPr>
            <w:rStyle w:val="Hyperlink"/>
          </w:rPr>
          <w:t xml:space="preserve">2.1 Introduction to the Review</w:t>
        </w:r>
      </w:hyperlink>
      <w:r>
        <w:t xml:space="preserve">16</w:t>
      </w:r>
    </w:p>
    <w:p>
      <w:pPr>
        <w:pStyle w:val="BodyText"/>
      </w:pPr>
      <w:hyperlink w:anchor="sec2-2">
        <w:r>
          <w:rPr>
            <w:rStyle w:val="Hyperlink"/>
          </w:rPr>
          <w:t xml:space="preserve">2.2 Theoretical Framework</w:t>
        </w:r>
      </w:hyperlink>
      <w:r>
        <w:t xml:space="preserve">16</w:t>
      </w:r>
    </w:p>
    <w:p>
      <w:pPr>
        <w:pStyle w:val="BodyText"/>
      </w:pPr>
      <w:hyperlink w:anchor="sec2-3">
        <w:r>
          <w:rPr>
            <w:rStyle w:val="Hyperlink"/>
          </w:rPr>
          <w:t xml:space="preserve">2.3 Historical Foundations of Natural-Language Interfaces</w:t>
        </w:r>
      </w:hyperlink>
      <w:r>
        <w:t xml:space="preserve">19</w:t>
      </w:r>
    </w:p>
    <w:p>
      <w:pPr>
        <w:pStyle w:val="BodyText"/>
      </w:pPr>
      <w:hyperlink w:anchor="sec2-4">
        <w:r>
          <w:rPr>
            <w:rStyle w:val="Hyperlink"/>
          </w:rPr>
          <w:t xml:space="preserve">2.4 Natural-Language-to-Shell Translation</w:t>
        </w:r>
      </w:hyperlink>
      <w:r>
        <w:t xml:space="preserve">23</w:t>
      </w:r>
    </w:p>
    <w:p>
      <w:pPr>
        <w:pStyle w:val="BodyText"/>
      </w:pPr>
      <w:hyperlink w:anchor="sec2-5">
        <w:r>
          <w:rPr>
            <w:rStyle w:val="Hyperlink"/>
          </w:rPr>
          <w:t xml:space="preserve">2.5 Graphical and Computer-Using Agents</w:t>
        </w:r>
      </w:hyperlink>
      <w:r>
        <w:t xml:space="preserve">27</w:t>
      </w:r>
    </w:p>
    <w:p>
      <w:pPr>
        <w:pStyle w:val="BodyText"/>
      </w:pPr>
      <w:hyperlink w:anchor="sec2-6">
        <w:r>
          <w:rPr>
            <w:rStyle w:val="Hyperlink"/>
          </w:rPr>
          <w:t xml:space="preserve">2.6 Accessibility and Speech-Driven Interaction</w:t>
        </w:r>
      </w:hyperlink>
      <w:r>
        <w:t xml:space="preserve">31</w:t>
      </w:r>
    </w:p>
    <w:p>
      <w:pPr>
        <w:pStyle w:val="BodyText"/>
      </w:pPr>
      <w:hyperlink w:anchor="sec2-7">
        <w:r>
          <w:rPr>
            <w:rStyle w:val="Hyperlink"/>
          </w:rPr>
          <w:t xml:space="preserve">2.7 Evaluation Environments and Benchmarks</w:t>
        </w:r>
      </w:hyperlink>
      <w:r>
        <w:t xml:space="preserve">32</w:t>
      </w:r>
    </w:p>
    <w:p>
      <w:pPr>
        <w:pStyle w:val="BodyText"/>
      </w:pPr>
      <w:hyperlink w:anchor="sec2-8">
        <w:r>
          <w:rPr>
            <w:rStyle w:val="Hyperlink"/>
          </w:rPr>
          <w:t xml:space="preserve">2.8 Synthesis: Comparative Analysis and Research Gap</w:t>
        </w:r>
      </w:hyperlink>
      <w:r>
        <w:t xml:space="preserve">33</w:t>
      </w:r>
    </w:p>
    <w:p>
      <w:pPr>
        <w:pStyle w:val="BodyText"/>
      </w:pPr>
      <w:hyperlink w:anchor="sec2-9">
        <w:r>
          <w:rPr>
            <w:rStyle w:val="Hyperlink"/>
          </w:rPr>
          <w:t xml:space="preserve">2.9 Review of the Methodological Literature</w:t>
        </w:r>
      </w:hyperlink>
      <w:r>
        <w:t xml:space="preserve">40</w:t>
      </w:r>
    </w:p>
    <w:p>
      <w:pPr>
        <w:pStyle w:val="BodyText"/>
      </w:pPr>
      <w:hyperlink w:anchor="sec2-10">
        <w:r>
          <w:rPr>
            <w:rStyle w:val="Hyperlink"/>
          </w:rPr>
          <w:t xml:space="preserve">2.10 Summary</w:t>
        </w:r>
      </w:hyperlink>
      <w:r>
        <w:t xml:space="preserve">42</w:t>
      </w:r>
    </w:p>
    <w:p>
      <w:pPr>
        <w:pStyle w:val="BodyText"/>
      </w:pPr>
      <w:hyperlink w:anchor="sec-chapter3">
        <w:r>
          <w:rPr>
            <w:rStyle w:val="Hyperlink"/>
          </w:rPr>
          <w:t xml:space="preserve">Chapter 3: METHODOLOGY</w:t>
        </w:r>
      </w:hyperlink>
      <w:r>
        <w:t xml:space="preserve">44</w:t>
      </w:r>
    </w:p>
    <w:p>
      <w:pPr>
        <w:pStyle w:val="BodyText"/>
      </w:pPr>
      <w:hyperlink w:anchor="sec-conceptual-framework">
        <w:r>
          <w:rPr>
            <w:rStyle w:val="Hyperlink"/>
          </w:rPr>
          <w:t xml:space="preserve">Conceptual Framework</w:t>
        </w:r>
      </w:hyperlink>
      <w:r>
        <w:t xml:space="preserve">45</w:t>
      </w:r>
    </w:p>
    <w:p>
      <w:pPr>
        <w:pStyle w:val="BodyText"/>
      </w:pPr>
      <w:hyperlink w:anchor="sec-system-env">
        <w:r>
          <w:rPr>
            <w:rStyle w:val="Hyperlink"/>
          </w:rPr>
          <w:t xml:space="preserve">System Environment Specifications</w:t>
        </w:r>
      </w:hyperlink>
      <w:r>
        <w:t xml:space="preserve">47</w:t>
      </w:r>
    </w:p>
    <w:p>
      <w:pPr>
        <w:pStyle w:val="BodyText"/>
      </w:pPr>
      <w:hyperlink w:anchor="sec1">
        <w:r>
          <w:rPr>
            <w:rStyle w:val="Hyperlink"/>
          </w:rPr>
          <w:t xml:space="preserve">Section 1: Dataset</w:t>
        </w:r>
      </w:hyperlink>
      <w:r>
        <w:t xml:space="preserve">50</w:t>
      </w:r>
    </w:p>
    <w:p>
      <w:pPr>
        <w:pStyle w:val="BodyText"/>
      </w:pPr>
      <w:hyperlink w:anchor="sec2">
        <w:r>
          <w:rPr>
            <w:rStyle w:val="Hyperlink"/>
          </w:rPr>
          <w:t xml:space="preserve">Section 2: Procedure / Experiment</w:t>
        </w:r>
      </w:hyperlink>
      <w:r>
        <w:t xml:space="preserve">59</w:t>
      </w:r>
    </w:p>
    <w:p>
      <w:pPr>
        <w:pStyle w:val="BodyText"/>
      </w:pPr>
      <w:hyperlink w:anchor="sec3">
        <w:r>
          <w:rPr>
            <w:rStyle w:val="Hyperlink"/>
          </w:rPr>
          <w:t xml:space="preserve">Section 3: System Testing</w:t>
        </w:r>
      </w:hyperlink>
      <w:r>
        <w:t xml:space="preserve">74</w:t>
      </w:r>
    </w:p>
    <w:p>
      <w:pPr>
        <w:pStyle w:val="BodyText"/>
      </w:pPr>
      <w:hyperlink w:anchor="sec-master-references">
        <w:r>
          <w:rPr>
            <w:rStyle w:val="Hyperlink"/>
          </w:rPr>
          <w:t xml:space="preserve">REFERENCES</w:t>
        </w:r>
      </w:hyperlink>
      <w:r>
        <w:t xml:space="preserve">94</w:t>
      </w:r>
    </w:p>
    <w:p>
      <w:pPr>
        <w:pStyle w:val="BodyText"/>
      </w:pPr>
      <w:hyperlink w:anchor="sec-appendices">
        <w:r>
          <w:rPr>
            <w:rStyle w:val="Hyperlink"/>
          </w:rPr>
          <w:t xml:space="preserve">APPENDICES</w:t>
        </w:r>
      </w:hyperlink>
      <w:r>
        <w:t xml:space="preserve">100</w:t>
      </w:r>
    </w:p>
    <w:bookmarkStart w:id="24" w:name="list-of-tables"/>
    <w:p>
      <w:pPr>
        <w:pStyle w:val="BodyText"/>
      </w:pPr>
      <w:r>
        <w:t xml:space="preserve">LIST OF TABLES</w:t>
      </w:r>
    </w:p>
    <w:p>
      <w:pPr>
        <w:pStyle w:val="BodyText"/>
      </w:pPr>
      <w:hyperlink w:anchor="table-1-1">
        <w:r>
          <w:rPr>
            <w:rStyle w:val="Hyperlink"/>
          </w:rPr>
          <w:t xml:space="preserve">Table 1.1: Components adopted rather than built, and why</w:t>
        </w:r>
      </w:hyperlink>
      <w:r>
        <w:t xml:space="preserve">8</w:t>
      </w:r>
    </w:p>
    <w:p>
      <w:pPr>
        <w:pStyle w:val="BodyText"/>
      </w:pPr>
      <w:hyperlink w:anchor="table-2-1">
        <w:r>
          <w:rPr>
            <w:rStyle w:val="Hyperlink"/>
          </w:rPr>
          <w:t xml:space="preserve">Table 2.1: Comparative analysis of surveyed systems along the four-layer pipeline</w:t>
        </w:r>
      </w:hyperlink>
      <w:r>
        <w:t xml:space="preserve">34</w:t>
      </w:r>
    </w:p>
    <w:p>
      <w:pPr>
        <w:pStyle w:val="BodyText"/>
      </w:pPr>
      <w:hyperlink w:anchor="table-3-1">
        <w:r>
          <w:rPr>
            <w:rStyle w:val="Hyperlink"/>
          </w:rPr>
          <w:t xml:space="preserve">Table 3.1: Study evaluation machines</w:t>
        </w:r>
      </w:hyperlink>
      <w:r>
        <w:t xml:space="preserve">48</w:t>
      </w:r>
    </w:p>
    <w:p>
      <w:pPr>
        <w:pStyle w:val="BodyText"/>
      </w:pPr>
      <w:hyperlink w:anchor="table-3-2">
        <w:r>
          <w:rPr>
            <w:rStyle w:val="Hyperlink"/>
          </w:rPr>
          <w:t xml:space="preserve">Table 3.2: SynapseOS minimum deployment requirements</w:t>
        </w:r>
      </w:hyperlink>
      <w:r>
        <w:t xml:space="preserve">48</w:t>
      </w:r>
    </w:p>
    <w:p>
      <w:pPr>
        <w:pStyle w:val="BodyText"/>
      </w:pPr>
      <w:hyperlink w:anchor="table-3-3">
        <w:r>
          <w:rPr>
            <w:rStyle w:val="Hyperlink"/>
          </w:rPr>
          <w:t xml:space="preserve">Table 3.3: Metrics for the recoverability algorithm, and what each is for</w:t>
        </w:r>
      </w:hyperlink>
      <w:r>
        <w:t xml:space="preserve">79</w:t>
      </w:r>
    </w:p>
    <w:p>
      <w:pPr>
        <w:pStyle w:val="BodyText"/>
      </w:pPr>
      <w:hyperlink w:anchor="table-3-4">
        <w:r>
          <w:rPr>
            <w:rStyle w:val="Hyperlink"/>
          </w:rPr>
          <w:t xml:space="preserve">Table 3.4: Paired comparisons of the effect analysis against each list on the held-out corpus, with Holm-corrected significance</w:t>
        </w:r>
      </w:hyperlink>
      <w:r>
        <w:t xml:space="preserve">83</w:t>
      </w:r>
    </w:p>
    <w:p>
      <w:pPr>
        <w:pStyle w:val="BodyText"/>
      </w:pPr>
      <w:hyperlink w:anchor="table-3-5">
        <w:r>
          <w:rPr>
            <w:rStyle w:val="Hyperlink"/>
          </w:rPr>
          <w:t xml:space="preserve">Table 3.5: Composition ablation — the full analysis against the same rule table with composition disabled</w:t>
        </w:r>
      </w:hyperlink>
      <w:r>
        <w:t xml:space="preserve">86</w:t>
      </w:r>
    </w:p>
    <w:p>
      <w:pPr>
        <w:pStyle w:val="BodyText"/>
      </w:pPr>
      <w:hyperlink w:anchor="appendix-c">
        <w:r>
          <w:rPr>
            <w:rStyle w:val="Hyperlink"/>
          </w:rPr>
          <w:t xml:space="preserve">Table C.1: Custom cross-platform task suite — core tasks</w:t>
        </w:r>
      </w:hyperlink>
      <w:r>
        <w:t xml:space="preserve">103</w:t>
      </w:r>
    </w:p>
    <w:p>
      <w:pPr>
        <w:pStyle w:val="BodyText"/>
      </w:pPr>
      <w:hyperlink w:anchor="appendix-c">
        <w:r>
          <w:rPr>
            <w:rStyle w:val="Hyperlink"/>
          </w:rPr>
          <w:t xml:space="preserve">Table C.2: Boundary tasks — outside shell expressibility</w:t>
        </w:r>
      </w:hyperlink>
      <w:r>
        <w:t xml:space="preserve">105</w:t>
      </w:r>
    </w:p>
    <w:bookmarkEnd w:id="24"/>
    <w:bookmarkStart w:id="25" w:name="list-of-figures"/>
    <w:p>
      <w:pPr>
        <w:pStyle w:val="BodyText"/>
      </w:pPr>
      <w:r>
        <w:t xml:space="preserve">LIST OF FIGURES</w:t>
      </w:r>
    </w:p>
    <w:p>
      <w:pPr>
        <w:pStyle w:val="BodyText"/>
      </w:pPr>
      <w:hyperlink w:anchor="figure-2-1">
        <w:r>
          <w:rPr>
            <w:rStyle w:val="Hyperlink"/>
          </w:rPr>
          <w:t xml:space="preserve">Figure 2.1: The four-layer interaction pipeline for language-mediated computing interfaces</w:t>
        </w:r>
      </w:hyperlink>
      <w:r>
        <w:t xml:space="preserve">17</w:t>
      </w:r>
    </w:p>
    <w:p>
      <w:pPr>
        <w:pStyle w:val="BodyText"/>
      </w:pPr>
      <w:hyperlink w:anchor="figure-3-1">
        <w:r>
          <w:rPr>
            <w:rStyle w:val="Hyperlink"/>
          </w:rPr>
          <w:t xml:space="preserve">Figure 3.1: Conceptual framework of SynapseOS</w:t>
        </w:r>
      </w:hyperlink>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9"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(Wilensky et al., 1988).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(Westenfelder et al., 2025; Gyawali et al., 2025).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(Zhang et al., 2025; Zhang et al., 2024).  On the web, language-guided agents complete tasks across realistic websites with measurable but limited reliability (Zhou et al., 2024; Zheng et al., 2024).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(Han et al., 2025) and region-aware visual grounding (Park et al., 2025)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(Yuan et al., 2026).</w:t>
      </w:r>
    </w:p>
    <w:p>
      <w:pPr>
        <w:pStyle w:val="BodyText"/>
      </w:pPr>
      <w:r>
        <w:t xml:space="preserve">This rapid progress has been uneven across platforms.  Windows is heavily represented in the desktop agent literature (Hui et al., 2025; Zhang et al., 2025), Android in the mobile agent literature (Rawles et al., 2023; Zhang et al., 2023; Wang et al., 2024), and the browser in the web agent literature (Deng et al., 2023; Zhou et al., 2024; Zheng et al., 2024).  Linux desktop coverage, by contrast, is conspicuously absent: existing work either addresses Linux only at the shell level (Gyawali et al., 2025) or treats it as one of several evaluation platforms rather than a primary target (Xie et al., 2024).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bookmarkStart w:id="28" w:name="sec1-1-gap"/>
    <w:p>
      <w:pPr>
        <w:pStyle w:val="Heading3"/>
      </w:pPr>
      <w:r>
        <w:t xml:space="preserve">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(Gyawali et al., 2025).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(Liu et al., 2026)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(Zhang et al., 2025).  Third, the Linux work that exists serves servers and agents rather than the desktop session of an end user.  NaSh addresses Linux at the shell level as a design proposal without evaluation (Gyawali et al., 2025); shipping natural-language shells such as Alibaba Cloud’s ANOLISA pair intent translation with approval gating and rollback, but scope themselves explicitly to server and DevOps workloads; and OSWorld includes Ubuntu as an evaluation platform rather than a deployment target (Xie et al., 2024).  Fourth, controlled comparison against the conventional graphical workflow exists only for narrow slices of the problem.  AXIS evaluates an API-first agent against manual operation within a single application, Microsoft Word, using a cloud-hosted frontier model (Lu et al., 2024), and the accessibility literature evaluates assistance for specific populations (Padmanabha et al., 2024).  No study compares a conversational interface against the conventional workflow across operating-system-level tasks, on a Linux desktop, driven by a locally-hosted small model, under an explicit safety gate.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(Han et al., 2025; Park et al., 2025),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 clear opportunity, and a precedent for how to seize it.  The history of the Unix shell demonstrates that a new interactive layer — bash succeeding the Bourne shell, zsh and fish succeeding both — can replace the software a user directly interacts with while leaving the kernel and the core system utilities entirely unchanged, producing a materially different experience for the user without touching anything beneath the session.  The opportunity addressed by this study is to apply the same pattern in a new direction, and with one deliberate departure from it.  SynapseOS adds a conversational interface layer to a Linux desktop that continues running underneath it: the desktop shell, window manager, and application launcher are left in place, as are the kernel, the core system utilities, and the existing application ecosystem.  A user retains every route to the machine they already had and gains a third.  The departure from the shell precedent is that</w:t>
      </w:r>
      <w:r>
        <w:t xml:space="preserve"> </w:t>
      </w:r>
      <w:r>
        <w:rPr>
          <w:rStyle w:val="VerbatimChar"/>
        </w:rPr>
        <w:t xml:space="preserve">zsh</w:t>
      </w:r>
      <w:r>
        <w:t xml:space="preserve"> </w:t>
      </w:r>
      <w:r>
        <w:t xml:space="preserve">displaced</w:t>
      </w:r>
      <w:r>
        <w:t xml:space="preserve"> </w:t>
      </w:r>
      <w:r>
        <w:rPr>
          <w:rStyle w:val="VerbatimChar"/>
        </w:rPr>
        <w:t xml:space="preserve">bash</w:t>
      </w:r>
      <w:r>
        <w:t xml:space="preserve"> </w:t>
      </w:r>
      <w:r>
        <w:t xml:space="preserve">for those who adopted it, whereas this layer displaces nothing — a conversational interface cannot yet perform the visual tasks a graphical desktop performs, so replacing the desktop would remove capability from the user in exchange for convenience, and adding to it costs them nothing.  It is designed to serve as the primary user-facing interface to a personal computing environment — spanning novice, elderly, non-technical, and technical user populations — with an evaluation methodology that engages the conventional desktop workflow as its baseline rather than as its substrate.  Within that layer, the first gap is addressed by the study’s algorithmic contribution: a recoverability analysis that derives a generated command’s effects from its structure before it runs, and captures exactly what it would destroy so that it can be undone.</w:t>
      </w:r>
    </w:p>
    <w:bookmarkEnd w:id="28"/>
    <w:bookmarkEnd w:id="29"/>
    <w:bookmarkStart w:id="30" w:name="sec1-2"/>
    <w:p>
      <w:pPr>
        <w:pStyle w:val="Heading2"/>
      </w:pPr>
      <w:r>
        <w:t xml:space="preserve">1.2 Statement of the Problem</w:t>
      </w:r>
    </w:p>
    <w:p>
      <w:pPr>
        <w:pStyle w:val="FirstParagraph"/>
      </w:pPr>
      <w:r>
        <w:t xml:space="preserve">The capability of a personal computer is unevenly reachable.  Nearly any operation a system supports can be expressed on its command line, but only by someone who can write in a shell scripting language; everyone else is limited to the operations a graphical desktop was built to expose.  This study addresses the absence of a conversational interface layer — one that accepts intent in ordinary language and carries it out through the standard system toolchain, layered over the desktop’s graphical session in the way a new interactive shell sits over an unchanged kernel and core utilities — that has been empirically evaluated against the conventional graphical workflow it would supplement, and evaluated specifically for whether it changes what people of differing technical fluency can accomplish.  Because such a layer runs generated commands on the user’s own files, it also raises a problem the surveyed systems leave open, and which this study treats as its primary computer-science problem: determining, before a generated command runs, what it would destroy and what must be captured so that it can be undone, which a list of dangerous command patterns cannot do.</w:t>
      </w:r>
    </w:p>
    <w:p>
      <w:pPr>
        <w:pStyle w:val="BodyText"/>
      </w:pPr>
      <w:r>
        <w:t xml:space="preserve">Specifically, the study seeks to answer the following questions:</w:t>
      </w:r>
    </w:p>
    <w:p>
      <w:pPr>
        <w:pStyle w:val="Compact"/>
        <w:numPr>
          <w:ilvl w:val="0"/>
          <w:numId w:val="1001"/>
        </w:numPr>
      </w:pPr>
      <w:r>
        <w:t xml:space="preserve">Can the effects of a generated shell command be found before it runs — seeing through the wrappers that hide its targets and resolving targets computed at run time — so that the minimal set of pre-images sufficient to restore the prior state can be captured, losing less data silently than matching the command against an enumerated list of destructive patterns, and asking the user less often than a list that refuses every command it does not recognize?</w:t>
      </w:r>
    </w:p>
    <w:p>
      <w:pPr>
        <w:pStyle w:val="Compact"/>
        <w:numPr>
          <w:ilvl w:val="0"/>
          <w:numId w:val="1001"/>
        </w:numPr>
      </w:pPr>
      <w:r>
        <w:t xml:space="preserve">How can a conversational interface layer be designed so that a person can direct an operating system in ordinary language, reaching the full range of operations the command line can express without knowing the syntax that command line requires?</w:t>
      </w:r>
    </w:p>
    <w:p>
      <w:pPr>
        <w:pStyle w:val="Compact"/>
        <w:numPr>
          <w:ilvl w:val="0"/>
          <w:numId w:val="1001"/>
        </w:numPr>
      </w:pPr>
      <w:r>
        <w:t xml:space="preserve">What confirmation and recovery design allows a user to act on their own system through natural language while preserving their ability to undo what was done — including when a command was approved in error?</w:t>
      </w:r>
    </w:p>
    <w:p>
      <w:pPr>
        <w:pStyle w:val="Compact"/>
        <w:numPr>
          <w:ilvl w:val="0"/>
          <w:numId w:val="1001"/>
        </w:numPr>
      </w:pPr>
      <w:r>
        <w:t xml:space="preserve">Does a conversational interface narrow the gap between what technically fluent users and users fluent in neither the command line nor the graphical desktop can accomplish on a computer, and how does the resulting experience — task success, time, error rate, and cognitive workload — compare to the interface each participant uses today?</w:t>
      </w:r>
    </w:p>
    <w:bookmarkEnd w:id="30"/>
    <w:bookmarkStart w:id="31" w:name="sec1-3"/>
    <w:p>
      <w:pPr>
        <w:pStyle w:val="Heading2"/>
      </w:pPr>
      <w:r>
        <w:t xml:space="preserve">1.3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data it would destroy, and computes the minimal set of pre-images that must be captured for the command to be undone.  The algorithm is deployed and evaluated within SynapseOS, a conversational interface layer that lets a person operate a computer in ordinary language rather than through memorized command syntax or the bounded set of actions a graphical desktop exposes.  SynapseOS is realized as an agentic layer over the conventional graphical session: the desktop shell, session manager, and application launcher keep running and stay available to the user, and the underlying Linux kernel, core system utilities, and application ecosystem are left unchanged.</w:t>
      </w:r>
    </w:p>
    <w:p>
      <w:pPr>
        <w:pStyle w:val="BodyText"/>
      </w:pPr>
      <w:r>
        <w:t xml:space="preserve">Specifically, this study aims:</w:t>
      </w:r>
    </w:p>
    <w:p>
      <w:pPr>
        <w:pStyle w:val="Compact"/>
        <w:numPr>
          <w:ilvl w:val="0"/>
          <w:numId w:val="1002"/>
        </w:numPr>
      </w:pPr>
      <w:r>
        <w:t xml:space="preserve">To formalize an effect model for shell commands, defining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design an algorithm that derives a generated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resolving targets known only at run time through dry runs it first proves read-only, and computing from them a minimum-cost capture plan (RQ1).</w:t>
      </w:r>
    </w:p>
    <w:p>
      <w:pPr>
        <w:pStyle w:val="Compact"/>
        <w:numPr>
          <w:ilvl w:val="0"/>
          <w:numId w:val="1002"/>
        </w:numPr>
      </w:pPr>
      <w:r>
        <w:t xml:space="preserve">To evaluate the algorithm empirically on a held-out command corpus whose ground truth is obtained by sandboxed execution, against an enumerated-pattern list, a list that fails closed, and the command-safety checks of open-source AI agents, reporting silent data loss separately from verified restoration and needless confirmation, with statistical testing; and, through an ablation, to quantify how much of the result the algorithm’s composition contributes beyond its per-command rule table (RQ1).</w:t>
      </w:r>
    </w:p>
    <w:p>
      <w:pPr>
        <w:pStyle w:val="Compact"/>
        <w:numPr>
          <w:ilvl w:val="0"/>
          <w:numId w:val="1002"/>
        </w:numPr>
      </w:pPr>
      <w:r>
        <w:t xml:space="preserve">To design and implement SynapseOS, a conversational interface layer for the Linux desktop</w:t>
      </w:r>
      <w:hyperlink w:anchor="ch1-fn4">
        <w:r>
          <w:rPr>
            <w:rStyle w:val="Hyperlink"/>
            <w:vertAlign w:val="superscript"/>
          </w:rPr>
          <w:t xml:space="preserve">4</w:t>
        </w:r>
      </w:hyperlink>
      <w:r>
        <w:t xml:space="preserve"> </w:t>
      </w:r>
      <w:r>
        <w:t xml:space="preserve">that exposes shell-expressible operations through ordinary language without requiring knowledge of shell syntax, comprising a natural-language-to-bash pipeline, a persistent conversational surface, and a confirmation gate and undo log driven by the algorithm’s verdict and capture plan (RQ2, RQ3).</w:t>
      </w:r>
    </w:p>
    <w:p>
      <w:pPr>
        <w:pStyle w:val="Compact"/>
        <w:numPr>
          <w:ilvl w:val="0"/>
          <w:numId w:val="1002"/>
        </w:numPr>
      </w:pPr>
      <w:r>
        <w:t xml:space="preserve">To evaluate SynapseOS through a controlled user study against each participant’s own primary operating system, measuring task success, completion time, error rate, and cognitive workload across a population fluent in neither existing interface and a population fluent in both — with the difference between those two populations as the primary outcome of interest, since the central claim of this work is that a conversational interface narrows the gap between them.</w:t>
      </w:r>
    </w:p>
    <w:bookmarkEnd w:id="31"/>
    <w:bookmarkStart w:id="32" w:name="sec1-4"/>
    <w:p>
      <w:pPr>
        <w:pStyle w:val="Heading2"/>
      </w:pPr>
      <w:r>
        <w:t xml:space="preserve">1.4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Section 3.1(h): disabling composition — the resolution of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while leaving the same per-command table in place drops capture coverage on the held-out corpus from 89.5% to 35.4% (McNemar’s exact test, p = 2.1×10</w:t>
      </w:r>
      <w:r>
        <w:rPr>
          <w:vertAlign w:val="superscript"/>
        </w:rPr>
        <w:t xml:space="preserve">−53</w:t>
      </w:r>
      <w:r>
        <w:t xml:space="preserve">); the table alone recovers roughly a third of what the full analysis recovers, and silent loss is unaffected (0% either way), so what composition adds is coverage, not safety.</w:t>
      </w:r>
    </w:p>
    <w:p>
      <w:pPr>
        <w:pStyle w:val="Compact"/>
        <w:numPr>
          <w:ilvl w:val="0"/>
          <w:numId w:val="1003"/>
        </w:numPr>
      </w:pPr>
      <w:r>
        <w:rPr>
          <w:b/>
          <w:bCs/>
        </w:rPr>
        <w:t xml:space="preserve">A working conversational interface layer for a Linux desktop</w:t>
      </w:r>
      <w:r>
        <w:t xml:space="preserve"> </w:t>
      </w:r>
      <w:r>
        <w:t xml:space="preserve">that grounds natural-language intent in shell commands, gates irreversible operations on explicit confirmation, and records a recovery journal, implemented as a single binary running over an unmodified desktop session.</w:t>
      </w:r>
    </w:p>
    <w:p>
      <w:pPr>
        <w:pStyle w:val="Compact"/>
        <w:numPr>
          <w:ilvl w:val="0"/>
          <w:numId w:val="1003"/>
        </w:numPr>
      </w:pPr>
      <w:r>
        <w:rPr>
          <w:b/>
          <w:bCs/>
        </w:rPr>
        <w:t xml:space="preserve">A controlled comparative evaluation of that interface against the one each participant already uses</w:t>
      </w:r>
      <w:r>
        <w:t xml:space="preserve">, on matched tasks, with the difference between users fluent in neither existing interface and users fluent in both as the primary outcome.  This addresses a gap in the literature identified in Chapter 2, where conversational computing interfaces are benchmarked as autonomous agents but seldom measured against the conventional workflow they would supplement.</w:t>
      </w:r>
    </w:p>
    <w:p>
      <w:pPr>
        <w:pStyle w:val="FirstParagraph"/>
      </w:pPr>
      <w:r>
        <w:t xml:space="preserve">The first contribution is evaluated against a labeled command corpus and is therefore independent of the user study; the third is evaluated through the study itself.  They are reported separately for that reason, and a negative result on either is reported as such.</w:t>
      </w:r>
    </w:p>
    <w:bookmarkEnd w:id="32"/>
    <w:bookmarkStart w:id="33" w:name="sec1-5"/>
    <w:p>
      <w:pPr>
        <w:pStyle w:val="Heading2"/>
      </w:pPr>
      <w:r>
        <w:t xml:space="preserve">1.5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(Padmanabha et al., 2024) and has demonstrated specialized techniques — speech-instructed GUI agents and resilient visual grounding — at the application and interaction-technique level (Han et al., 2025; Park et al., 2025).  These techniques presuppose a conversational system surface that does not yet exist at the session level; SynapseOS provides that surface, making accessibility-specific extensions a natural and well-grounded future direction rather than a speculative one.</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3.1(c)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 also contributes a controlled comparative evaluation methodology for conversational interfaces, which are rarely compared against conventional graphical workflows on the same tasks and population (Xie et al., 2024).</w:t>
      </w:r>
    </w:p>
    <w:bookmarkEnd w:id="33"/>
    <w:bookmarkStart w:id="34" w:name="sec1-6"/>
    <w:p>
      <w:pPr>
        <w:pStyle w:val="Heading2"/>
      </w:pPr>
      <w:r>
        <w:t xml:space="preserve">1.6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primary contribution, and the design, implementation, and evaluation of SynapseOS, the conversational interface layer for the Linux desktop in which it is deployed.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(Xie et al., 2024).  The population studied consists of novice computer users and power users recruited for a controlled user study.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(Han et al., 2025)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(Wilensky et al., 1988)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6"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(2024),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4" name="Picture"/>
            <a:graphic>
              <a:graphicData uri="http://schemas.openxmlformats.org/drawingml/2006/picture">
                <pic:pic>
                  <pic:nvPicPr>
                    <pic:cNvPr descr="/tmp/claude-1000/-home-willard-projects-thesis/cb82e7af-8c35-489a-a7f7-ef49172efea2/scratchpad/docx/fig0.png" id="45" name="Picture"/>
                    <pic:cNvPicPr>
                      <a:picLocks noChangeArrowheads="1" noChangeAspect="1"/>
                    </pic:cNvPicPr>
                  </pic:nvPicPr>
                  <pic:blipFill>
                    <a:blip r:embed="rId43"/>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(2024).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6"/>
    <w:bookmarkStart w:id="48"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(1988),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(Li et al., 2020)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(2023),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7"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(1983)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(1986): the gulf of execution, between an intention and the actions a system makes available, and the gulf of evaluation, between the system’s response and the user’s ability to interpret it.  Hutchins, Hollan, and Norman (1985)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(Shneiderman and Maes, 1997), and Shneiderman argued subsequently that speech and language interaction consume the same cognitive resources a user needs in order to hold a task in mind, where pointing does not (Shneiderman, 2000).  Empirical work on modern conversational agents has largely borne the concern out: Luger and Sellen documented a persistent gulf between what users expected a conversational agent to understand and what it actually did (Luger and Sellen, 2016), and Clark and colleagues found that the properties people value in human conversation transfer poorly to interaction with an agent (Clark et al., 2019).</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Norman’s critique of the UNIX command line (1981) remains the standard reference for the position that the command line’s power is inaccessible to most people in practice.  But the best-known controlled comparison of command, menu, and iconic interfaces, conducted by Whiteside and colleagues across seventy-six users and seven systems (1985),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7"/>
    <w:bookmarkEnd w:id="48"/>
    <w:bookmarkStart w:id="49"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(2025)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(2025)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(2026),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(Gyawali et al., 2025)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(1977), is the foundational technique for computing sound, conservative approximations of a program’s runtime behavior by evaluating it over an abstract domain rather than its concrete one.  Type-and-effect systems, developed by Jouvelot and Gifford (1991) and given a full formal treatment by Talpin and Jouvelot (1994),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(Mazurak and Zdancewic, 2007) performs abstract interpretation over bash’s variable-expansion semantics to catch common expansion bugs and includes taint tracking, but is not concerned with what a script’s commands would do to the filesystem if executed correctly.  Smoosh (Greenberg and Blatt, 2020)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(Becker et al., 2022),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9"/>
    <w:bookmarkStart w:id="55"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0" w:name="web-agents"/>
    <w:p>
      <w:pPr>
        <w:pStyle w:val="Heading3"/>
      </w:pPr>
      <w:r>
        <w:t xml:space="preserve">Web agents</w:t>
      </w:r>
    </w:p>
    <w:p>
      <w:pPr>
        <w:pStyle w:val="FirstParagraph"/>
      </w:pPr>
      <w:r>
        <w:t xml:space="preserve">The web has been the most heavily studied environment for language-guided agents.  Mind2Web, introduced by Deng and colleagues (2023),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(2024),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(2024),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0"/>
    <w:bookmarkStart w:id="51"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(2020), discussed in §2.3, established the grounding problem for mobile interfaces.  Android in the Wild, from Rawles and colleagues (2023),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(2023),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(2024),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1"/>
    <w:bookmarkStart w:id="52"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(2024),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(2025),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(2025),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2"/>
    <w:bookmarkStart w:id="53"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3"/>
    <w:bookmarkStart w:id="54"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(2024),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4"/>
    <w:bookmarkEnd w:id="55"/>
    <w:bookmarkStart w:id="56"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(2024),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(2024),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(2025)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(2025), advance automated GUI agents driven directly by speech instructions, while Park and colleagues, in R-VLM (2025),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6"/>
    <w:bookmarkStart w:id="57"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(2024),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(Yuan et al., 2026),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(2024)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7"/>
    <w:bookmarkStart w:id="64"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1988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2025</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2025</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2025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2024</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&amp; Walishetti, 2024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2023</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2024</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2024</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2023</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2023</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2024</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2024</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2024</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2025</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2025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2024</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2020</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2023</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2025</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2025</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2026</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8" w:name="bifurcation-by-coverage-scope"/>
    <w:p>
      <w:pPr>
        <w:pStyle w:val="Heading3"/>
      </w:pPr>
      <w:r>
        <w:t xml:space="preserve">Bifurcation by coverage scope</w:t>
      </w:r>
    </w:p>
    <w:p>
      <w:pPr>
        <w:pStyle w:val="FirstParagraph"/>
      </w:pPr>
      <w:r>
        <w:t xml:space="preserve">The field is bifurcated by coverage scope.  Shell-level work (Westenfelder et al., 2025; Gyawali et al., 2025) and single-application work (van Dam, 2025; Padmanabha et al., 2024)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(Wilensky et al., 1988) came closest in ambition four decades ago, but its pre-LLM foundation prevented it from scaling beyond demonstration.  The absence is structural rather than incidental.  Even UFO² (Zhang et al., 2025),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8"/>
    <w:bookmarkStart w:id="59"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(Zhang et al., 2025; van Dam, 2025) that prefers structured access where available and falls back to vision.  Vision-only systems (Wang et al., 2024; Niu et al., 2024)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9"/>
    <w:bookmarkStart w:id="60"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(Zheng et al., 2024) and the GUI-agents survey (Zhang et al., 2024).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(Zhou et al., 2026).  Execution through the shell becomes advantageous when it is paired with a mechanism that checks what the command actually did, which is precisely the role a reversibility gate and an undo record play in the present design.</w:t>
      </w:r>
    </w:p>
    <w:bookmarkEnd w:id="60"/>
    <w:bookmarkStart w:id="61"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(Gyawali et al., 2025; van Dam, 2025) or through curated task benchmarks (Deng et al., 2023; Zhou et al., 2024; Wang et al., 2024; Xie et al., 2024).  User studies are rare, and the comparisons that do exist are narrow.  VoicePilot (Padmanabha et al., 2024) conducts a substantive human-centered evaluation of LLM-based interaction, and AXIS (Lu et al., 2024)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1"/>
    <w:bookmarkStart w:id="62" w:name="the-operating-system-substrate"/>
    <w:p>
      <w:pPr>
        <w:pStyle w:val="Heading3"/>
      </w:pPr>
      <w:r>
        <w:t xml:space="preserve">The operating-system substrate</w:t>
      </w:r>
    </w:p>
    <w:p>
      <w:pPr>
        <w:pStyle w:val="FirstParagraph"/>
      </w:pPr>
      <w:r>
        <w:t xml:space="preserve">A fifth pattern concerns the operating-system substrate.  Windows (Hui et al., 2025; Zhang et al., 2025), Android (Rawles et al., 2023; Zhang et al., 2023; Wang et al., 2024), and the web (Deng et al., 2023; Zhou et al., 2024; Zheng et al., 2024) are each heavily represented; the Linux work that exists is aimed elsewhere than the end user’s desktop session.  NaSh (Gyawali et al., 2025) addresses Linux at the shell level as a design proposal; Alibaba Cloud’s ANOLISA ships a natural-language Linux terminal with approval gating and rollback, but scoped to server and DevOps workloads; and OSWorld (Xie et al., 2024)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2"/>
    <w:bookmarkStart w:id="63"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(Yao et al., 2023)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(Lu et al., 2024);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(Gyawali et al., 2025)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3"/>
    <w:bookmarkEnd w:id="64"/>
    <w:bookmarkStart w:id="65"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(Gyawali et al., 2025; van Dam, 2025) establish feasibility but provide no performance evidence.  Curated task benchmarks (Deng et al., 2023; Zhou et al., 2024; Xie et al., 2024) provide reproducible, quantitative measures but assess the autonomous task completion of agents acting on a user’s behalf rather than the performance of a human working through an interface.  Human-centered user studies, exemplified by VoicePilot (Padmanabha et al., 2024) and AXIS (Lu et al., 2024),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(Brooke, 1996) for perceived usability, with its interpretation grounded in subsequent large-sample analysis (Sauro and Lewis, 2016; Bangor et al., 2008), and the NASA Task Load Index (Hart and Staveland, 1988)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(2018), collecting both strands concurrently and integrating them at the interpretation stage; the qualitative data, gathered through retrospective think-aloud over the screen recording and a semi-structured interview, are analyzed using the thematic-analysis method of Braun and Clarke (2006), a widely adopted six-phase approach for identifying and reporting patterns in qualitative data.  Design considerations surfaced by the reviewed systems inform the evaluation directly: the preview-and-confirm guideline of VoicePilot (Padmanabha et al., 2024) and the reversibility-and-guardrail framing of NaSh (Gyawali et al., 2025)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5"/>
    <w:bookmarkStart w:id="66"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(Wilensky et al., 1988) and the methodological shift, driven by in-context reasoning (Yao et al., 2023), that made the current generation of systems possible.  The shell-and-command-line thread most directly related to the proposed design demonstrated that natural-language-to-Bash translation is tractable (Westenfelder et al., 2025), that safety and reversibility are central concerns (Gyawali et al., 2025), and that local deployment is feasible (Jacobs et al., 2026), while leaving the extension from shell to session, and empirical user evaluation, as open work.  The graphical-agent literature across web, mobile, and desktop (Deng et al., 2023; Zhou et al., 2024; Zheng et al., 2024; Rawles et al., 2023; Zhang et al., 2023; Wang et al., 2024; Hong et al., 2024; Niu et al., 2024; Hui et al., 2025; Zhang et al., 2025) established the field’s architectural patterns and its recurring bottleneck of visual grounding, while the accessibility thread (van Dam, 2025; Padmanabha et al., 2024; Mehendale and Walishetti, 2024; Han et al., 2025; Park et al., 2025) revealed a complementary limitation that a general conversational interface layer would resolve.  The evaluation literature (Xie et al., 2024; Zhang et al., 2024; Yuan et al., 2026)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present study addresses the first through a recoverability analysis of generated shell commands, evaluated against ground truth obtained by sandboxed execution, and the other three through SynapseOS, the conversational interface layer for the Linux desktop in which that analysis is deployed, evaluated by controlled, within-subjects comparison against each participant’s own operating system.  The methodology through which this evaluation is conducted is the subject of Chapter 3.</w:t>
      </w:r>
    </w:p>
    <w:bookmarkEnd w:id="66"/>
    <w:bookmarkStart w:id="69" w:name="ch2-notes"/>
    <w:p>
      <w:pPr>
        <w:pStyle w:val="Heading2"/>
      </w:pPr>
      <w:r>
        <w:t xml:space="preserve">Notes</w:t>
      </w:r>
    </w:p>
    <w:p>
      <w:pPr>
        <w:pStyle w:val="Compact"/>
        <w:numPr>
          <w:ilvl w:val="0"/>
          <w:numId w:val="1006"/>
        </w:numPr>
      </w:pPr>
      <w:bookmarkStart w:id="67"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7"/>
    </w:p>
    <w:p>
      <w:pPr>
        <w:pStyle w:val="Compact"/>
        <w:numPr>
          <w:ilvl w:val="0"/>
          <w:numId w:val="1006"/>
        </w:numPr>
      </w:pPr>
      <w:bookmarkStart w:id="68"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8"/>
    </w:p>
    <w:bookmarkEnd w:id="69"/>
    <w:bookmarkStart w:id="70" w:name="sec-chapter3"/>
    <w:p>
      <w:pPr>
        <w:pStyle w:val="FirstParagraph"/>
      </w:pPr>
      <w:r>
        <w:t xml:space="preserve">Chapter 3</w:t>
      </w:r>
    </w:p>
    <w:p>
      <w:pPr>
        <w:pStyle w:val="BodyText"/>
      </w:pPr>
      <w:r>
        <w:t xml:space="preserve">Methodology</w:t>
      </w:r>
    </w:p>
    <w:bookmarkEnd w:id="70"/>
    <w:p>
      <w:pPr>
        <w:pStyle w:val="BodyText"/>
      </w:pPr>
      <w:r>
        <w:t xml:space="preserve">This chapter describes the research methodology employed in designing, implementing, and evaluating SynapseOS — an agentic conversational interface layer that runs over an ordinary Linux desktop session rather than replacing it.  The methodology is organized into three sections: Dataset, which defines the data to be collected and how it will be gathered; Procedure, which describes the step-by-step process of building the system and conducting the study; and System Testing, which defines the evaluation design, metrics, and statistical approach used to compare SynapseOS against each participant’s own primary operating system.</w:t>
      </w:r>
    </w:p>
    <w:p>
      <w:pPr>
        <w:pStyle w:val="BodyText"/>
      </w:pPr>
      <w:r>
        <w:t xml:space="preserve">This methodology answers the four research questions posed in Chapter 1.</w:t>
      </w:r>
      <w:r>
        <w:t xml:space="preserve"> </w:t>
      </w:r>
      <w:r>
        <w:rPr>
          <w:i/>
          <w:iCs/>
        </w:rPr>
        <w:t xml:space="preserve">RQ1</w:t>
      </w:r>
      <w:r>
        <w:t xml:space="preserve"> </w:t>
      </w:r>
      <w:r>
        <w:t xml:space="preserve">asks whether the effects of a generated command can be found before it runs, and the pre-images needed to restore the prior state captured, so that less data is lost silently than under an enumerated list of destructive patterns and the user is asked less often than under a list that refuses every command it does not recognize.</w:t>
      </w:r>
      <w:r>
        <w:t xml:space="preserve"> </w:t>
      </w:r>
      <w:r>
        <w:rPr>
          <w:i/>
          <w:iCs/>
        </w:rPr>
        <w:t xml:space="preserve">RQ2</w:t>
      </w:r>
      <w:r>
        <w:t xml:space="preserve"> </w:t>
      </w:r>
      <w:r>
        <w:t xml:space="preserve">asks how a conversational interface layer can be designed so that a person can direct an operating system in ordinary language without knowing the syntax its command line requires;</w:t>
      </w:r>
      <w:r>
        <w:t xml:space="preserve"> </w:t>
      </w:r>
      <w:r>
        <w:rPr>
          <w:i/>
          <w:iCs/>
        </w:rPr>
        <w:t xml:space="preserve">RQ3</w:t>
      </w:r>
      <w:r>
        <w:t xml:space="preserve">, what confirmation and recovery design allows a user to act on their own system through natural language while preserving the ability to undo what was done, including when a command was approved in error; and</w:t>
      </w:r>
      <w:r>
        <w:t xml:space="preserve"> </w:t>
      </w:r>
      <w:r>
        <w:rPr>
          <w:i/>
          <w:iCs/>
        </w:rPr>
        <w:t xml:space="preserve">RQ4</w:t>
      </w:r>
      <w:r>
        <w:t xml:space="preserve">, whether a conversational interface narrows the gap between what technically fluent users and users fluent in neither existing interface can accomplish, and how the resulting experience compares to the interface each participant uses today.</w:t>
      </w:r>
    </w:p>
    <w:p>
      <w:pPr>
        <w:pStyle w:val="BodyText"/>
      </w:pPr>
      <w:r>
        <w:t xml:space="preserve">The study therefore makes two contributions of different kinds, established by two independent evaluations, and they are reported separately for that reason.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Neither evaluation depends on the other: the algorithm takes a shell command as a string and is indifferent to what produced it, so its corpus, baselines, and results stand independently of the interface in which it is deployed, while the comparative study addresses a gap in the literature — conversational interfaces evaluated across user populations of differing technical fluency — that the algorithm does not speak to at all.</w:t>
      </w:r>
    </w:p>
    <w:p>
      <w:pPr>
        <w:pStyle w:val="BodyText"/>
      </w:pPr>
      <w:r>
        <w:t xml:space="preserve">The two evaluations are independent by construction, and this is the reason the questions are ordered as they are.  Section 3.1 defines the corpus-based evaluation that answers RQ1 without reference to any participant; Section 1 defines the data gathered to answer RQ3 and RQ4; Section 2 describes the system built to answer RQ2 and RQ3; and Sections 3.2 onward define the user study that answers RQ3 and RQ4.  Removing the conversational interface from this study would remove RQ2 through RQ4 and the user study with them; RQ1, its corpus, its baselines, and its results would remain intact, because the analysis takes a shell command as a string and is indifferent to what produced it.</w:t>
      </w:r>
    </w:p>
    <w:bookmarkStart w:id="74"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2.1(c) of this chapter and evaluated in Section 3.1, independently of the user study.  This architecture is illustrated in Figure 3.1.</w:t>
      </w:r>
    </w:p>
    <w:p>
      <w:pPr>
        <w:pStyle w:val="BodyText"/>
      </w:pPr>
      <w:r>
        <w:t xml:space="preserve">The framework is evaluated in two independent parts.  The recoverability analyzer is evaluated on its own, on a corpus of commands whose ground truth is obtained by sandboxed execution (Section 3.1).  The system as a whole is evaluated through a controlled user study in which participants complete a fixed set of tasks under two conditions: using SynapseOS as the interface, and using their own primary operating system — Windows, macOS, or Linux — as the baseline.  This expert baseline design pits SynapseOS against the environment each participant already knows and uses daily, generating empirical data on task completion time, error rate, and user satisfaction across the real-world OS landscape (Xie et al., 2024).</w:t>
      </w:r>
    </w:p>
    <w:p>
      <w:pPr>
        <w:pStyle w:val="BodyText"/>
      </w:pPr>
      <w:r>
        <w:drawing>
          <wp:inline>
            <wp:extent cx="5334000" cy="3717131"/>
            <wp:effectExtent b="0" l="0" r="0" t="0"/>
            <wp:docPr descr="" title="" id="72" name="Picture"/>
            <a:graphic>
              <a:graphicData uri="http://schemas.openxmlformats.org/drawingml/2006/picture">
                <pic:pic>
                  <pic:nvPicPr>
                    <pic:cNvPr descr="/tmp/claude-1000/-home-willard-projects-thesis/cb82e7af-8c35-489a-a7f7-ef49172efea2/scratchpad/docx/fig1.png" id="73" name="Picture"/>
                    <pic:cNvPicPr>
                      <a:picLocks noChangeArrowheads="1" noChangeAspect="1"/>
                    </pic:cNvPicPr>
                  </pic:nvPicPr>
                  <pic:blipFill>
                    <a:blip r:embed="rId71"/>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4"/>
    <w:bookmarkStart w:id="75"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3.6)</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3.6).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2.1(b))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5"/>
    <w:bookmarkStart w:id="86" w:name="sec1"/>
    <w:p>
      <w:pPr>
        <w:pStyle w:val="Heading2"/>
      </w:pPr>
      <w:r>
        <w:t xml:space="preserve">Section 1: Dataset</w:t>
      </w:r>
    </w:p>
    <w:p>
      <w:pPr>
        <w:pStyle w:val="FirstParagraph"/>
      </w:pPr>
      <w:r>
        <w:t xml:space="preserve">The data gathered for this study falls into three categories: benchmark task data used to evaluate the system in a standardized environment, user study data collected from human participants in a controlled setting, and system performance data captured automatically through built-in telemetry during all sessions.</w:t>
      </w:r>
    </w:p>
    <w:bookmarkStart w:id="79" w:name="ch3-sec1-1"/>
    <w:p>
      <w:pPr>
        <w:pStyle w:val="Heading3"/>
      </w:pPr>
      <w:r>
        <w:t xml:space="preserve">1.1 What to gather</w:t>
      </w:r>
    </w:p>
    <w:bookmarkStart w:id="76" w:name="a-benchmark-task-suite"/>
    <w:p>
      <w:pPr>
        <w:pStyle w:val="Heading4"/>
      </w:pPr>
      <w:r>
        <w:t xml:space="preserve">a) Benchmark Task Suite</w:t>
      </w:r>
    </w:p>
    <w:p>
      <w:pPr>
        <w:pStyle w:val="FirstParagraph"/>
      </w:pPr>
      <w:r>
        <w:t xml:space="preserve">The primary benchmark dataset is the OSWorld task suite (Xie et al., 2024),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6"/>
    <w:bookmarkStart w:id="77" w:name="b-user-study-data"/>
    <w:p>
      <w:pPr>
        <w:pStyle w:val="Heading4"/>
      </w:pPr>
      <w:r>
        <w:t xml:space="preserve">b)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(Brooke, 1996) and the NASA Task Load Index (NASA-TLX) (Hart and Staveland, 1988),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7"/>
    <w:bookmarkStart w:id="78" w:name="c-system-performance-data"/>
    <w:p>
      <w:pPr>
        <w:pStyle w:val="Heading4"/>
      </w:pPr>
      <w:r>
        <w:t xml:space="preserve">c)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8"/>
    <w:bookmarkEnd w:id="79"/>
    <w:bookmarkStart w:id="82" w:name="ch3-sec1-2"/>
    <w:p>
      <w:pPr>
        <w:pStyle w:val="Heading3"/>
      </w:pPr>
      <w:r>
        <w:t xml:space="preserve">1.2 How to gather</w:t>
      </w:r>
    </w:p>
    <w:bookmarkStart w:id="80" w:name="a-benchmark-tasks"/>
    <w:p>
      <w:pPr>
        <w:pStyle w:val="Heading4"/>
      </w:pPr>
      <w:r>
        <w:t xml:space="preserve">a) Benchmark Tasks</w:t>
      </w:r>
    </w:p>
    <w:p>
      <w:pPr>
        <w:pStyle w:val="FirstParagraph"/>
      </w:pPr>
      <w:r>
        <w:t xml:space="preserve">SynapseOS is deployed on the Debian 13 (Trixie) environment matching the OSWorld evaluation setup (Xie et al., 2024).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1.2(b)).</w:t>
      </w:r>
    </w:p>
    <w:bookmarkEnd w:id="80"/>
    <w:bookmarkStart w:id="81" w:name="b-user-study"/>
    <w:p>
      <w:pPr>
        <w:pStyle w:val="Heading4"/>
      </w:pPr>
      <w:r>
        <w:t xml:space="preserve">b)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3.3)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1"/>
    <w:bookmarkEnd w:id="82"/>
    <w:bookmarkStart w:id="83" w:name="ch3-sec1-3"/>
    <w:p>
      <w:pPr>
        <w:pStyle w:val="Heading3"/>
      </w:pPr>
      <w:r>
        <w:t xml:space="preserve">1.3 Why</w:t>
      </w:r>
    </w:p>
    <w:p>
      <w:pPr>
        <w:pStyle w:val="FirstParagraph"/>
      </w:pPr>
      <w:r>
        <w:t xml:space="preserve">The OSWorld benchmark is used as the primary evaluation standard because it is the only existing benchmark that evaluates computer-using agents in real operating system environments with real applications (Xie et al., 2024).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(Xie et al., 2024).  The three data categories align with the three interface questions:</w:t>
      </w:r>
      <w:r>
        <w:t xml:space="preserve"> </w:t>
      </w:r>
      <w:r>
        <w:rPr>
          <w:i/>
          <w:iCs/>
        </w:rPr>
        <w:t xml:space="preserve">RQ2</w:t>
      </w:r>
      <w:r>
        <w:t xml:space="preserve"> </w:t>
      </w:r>
      <w:r>
        <w:t xml:space="preserve">is addressed by the system design and benchmark task coverage;</w:t>
      </w:r>
      <w:r>
        <w:t xml:space="preserve"> </w:t>
      </w:r>
      <w:r>
        <w:rPr>
          <w:i/>
          <w:iCs/>
        </w:rPr>
        <w:t xml:space="preserve">RQ3</w:t>
      </w:r>
      <w:r>
        <w:t xml:space="preserve"> </w:t>
      </w:r>
      <w:r>
        <w:t xml:space="preserve">is addressed by system performance telemetry (command execution latency, intent parsing accuracy, undo and confirmation events); and</w:t>
      </w:r>
      <w:r>
        <w:t xml:space="preserve"> </w:t>
      </w:r>
      <w:r>
        <w:rPr>
          <w:i/>
          <w:iCs/>
        </w:rPr>
        <w:t xml:space="preserve">RQ4</w:t>
      </w:r>
      <w:r>
        <w:t xml:space="preserve"> </w:t>
      </w:r>
      <w:r>
        <w:t xml:space="preserve">is addressed by the user study metrics (task completion time, error rate, satisfaction scores).  RQ1 draws on none of these, being answered against the labeled command corpus described in Section 3.1.</w:t>
      </w:r>
    </w:p>
    <w:bookmarkEnd w:id="83"/>
    <w:bookmarkStart w:id="84"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3.3) rather than a primary grouping variable, since splitting the sample along a third axis would leave subgroups too small to support a hypothesis test.</w:t>
      </w:r>
    </w:p>
    <w:bookmarkEnd w:id="84"/>
    <w:bookmarkStart w:id="85"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5"/>
    <w:bookmarkEnd w:id="86"/>
    <w:bookmarkStart w:id="95" w:name="sec2"/>
    <w:p>
      <w:pPr>
        <w:pStyle w:val="Heading2"/>
      </w:pPr>
      <w:r>
        <w:t xml:space="preserve">Section 2: Procedure / Experiment</w:t>
      </w:r>
    </w:p>
    <w:p>
      <w:pPr>
        <w:pStyle w:val="FirstParagraph"/>
      </w:pPr>
      <w:r>
        <w:t xml:space="preserve">Building SynapseOS and running the study that evaluates it are two related but distinct efforts.  The system itself — the conversational interface layer and execution pipeline — is designed and implemented first, followed by the scaffolding that makes the resulting study trustworthy: collected data is processed and pseudonymized, the system and instruments are validated, each participant session follows a standardized procedure, and participant welfare is protected throughout.</w:t>
      </w:r>
    </w:p>
    <w:bookmarkStart w:id="90" w:name="ch3-sec2-1"/>
    <w:p>
      <w:pPr>
        <w:pStyle w:val="Heading3"/>
      </w:pPr>
      <w:r>
        <w:t xml:space="preserve">2.1 System design and implementation</w:t>
      </w:r>
    </w:p>
    <w:p>
      <w:pPr>
        <w:pStyle w:val="FirstParagraph"/>
      </w:pPr>
      <w:r>
        <w:t xml:space="preserve">The construction of SynapseOS proceeds across two primary workstreams — the conversational interface layer and the execution pipeline — integrated into a unified session manager that launches over the conventional Linux graphical desktop session rather than replacing it.</w:t>
      </w:r>
    </w:p>
    <w:bookmarkStart w:id="87" w:name="a-conversational-interface-layer"/>
    <w:p>
      <w:pPr>
        <w:pStyle w:val="Heading4"/>
      </w:pPr>
      <w:r>
        <w:t xml:space="preserve">a)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(Westenfelder et al., 2025).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(2025)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(Jacobs et al., 2026).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87"/>
    <w:bookmarkStart w:id="88" w:name="b-execution-pipeline"/>
    <w:p>
      <w:pPr>
        <w:pStyle w:val="Heading4"/>
      </w:pPr>
      <w:r>
        <w:t xml:space="preserve">b)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(Gyawali et al., 2025) and the preview-and-confirm design guideline validated with motor-impaired users of an LLM-mediated assistive-robotics interface (Padmanabha et al., 2024).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(Zhang et al., 2025).  This boundary is intentional: it constrains the research to a tractable, verifiable claim that the system can be built, evaluated, and defended within the thesis timeline.</w:t>
      </w:r>
    </w:p>
    <w:bookmarkEnd w:id="88"/>
    <w:bookmarkStart w:id="89" w:name="c-recoverability-analysis"/>
    <w:p>
      <w:pPr>
        <w:pStyle w:val="Heading4"/>
      </w:pPr>
      <w:r>
        <w:t xml:space="preserve">c) Recoverability Analysis</w:t>
      </w:r>
    </w:p>
    <w:p>
      <w:pPr>
        <w:pStyle w:val="FirstParagraph"/>
      </w:pPr>
      <w:r>
        <w:t xml:space="preserve">The reversibility classification described above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p>
      <w:pPr>
        <w:pStyle w:val="BodyText"/>
      </w:pPr>
      <w:r>
        <w:rPr>
          <w:b/>
          <w:bCs/>
        </w:rPr>
        <w:t xml:space="preserve">Verdict and plan.</w:t>
      </w:r>
      <w:r>
        <w:t xml:space="preserve"> </w:t>
      </w:r>
      <w:r>
        <w:t xml:space="preserve">The verdict is a predicate over the composed effect set: a command is recoverable when every effect within it has an available mechanism capable of restoring that effect’s pre-image.  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already described in the Execution Pipeline;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The verdict is not where the contribution lies: a list that refuses every command it does not recognize reaches the same verdict on the commands studied.  What the plan adds is that the refusal comes with a capture that restores.</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p>
      <w:pPr>
        <w:pStyle w:val="BodyText"/>
      </w:pPr>
      <w:r>
        <w:t xml:space="preserve">The preceding paragraphs are stated formally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89"/>
    <w:bookmarkEnd w:id="90"/>
    <w:bookmarkStart w:id="91" w:name="ch3-sec2-2"/>
    <w:p>
      <w:pPr>
        <w:pStyle w:val="Heading3"/>
      </w:pPr>
      <w:r>
        <w:t xml:space="preserve">2.2 Data pre-processing</w:t>
      </w:r>
    </w:p>
    <w:p>
      <w:pPr>
        <w:pStyle w:val="FirstParagraph"/>
      </w:pPr>
      <w:r>
        <w:t xml:space="preserve">Prior to statistical analysis, all data collected during the benchmark evaluation and user study — not the system itself — undergoes the following processing steps:</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1"/>
    <w:bookmarkStart w:id="92"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(Westenfelder et al., 2025)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RQ1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3.6).</w:t>
      </w:r>
    </w:p>
    <w:bookmarkEnd w:id="92"/>
    <w:bookmarkStart w:id="93"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3"/>
    <w:bookmarkStart w:id="94"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4"/>
    <w:bookmarkEnd w:id="95"/>
    <w:bookmarkStart w:id="114" w:name="sec3"/>
    <w:p>
      <w:pPr>
        <w:pStyle w:val="Heading2"/>
      </w:pPr>
      <w:r>
        <w:t xml:space="preserve">Section 3: System Testing</w:t>
      </w:r>
    </w:p>
    <w:p>
      <w:pPr>
        <w:pStyle w:val="FirstParagraph"/>
      </w:pPr>
      <w:r>
        <w:t xml:space="preserve">SynapseOS is evaluated against the datasets and study design established in Section 1.  The comparison follows a fixed set of metrics and formulas, a statistical analysis plan for testing significance and effect size, and an accounting of the threats to validity this design addresses.</w:t>
      </w:r>
    </w:p>
    <w:bookmarkStart w:id="104" w:name="ch3-sec3-1"/>
    <w:p>
      <w:pPr>
        <w:pStyle w:val="Heading3"/>
      </w:pPr>
      <w:r>
        <w:t xml:space="preserve">3.1 Algorithm evaluation (RQ1)</w:t>
      </w:r>
    </w:p>
    <w:p>
      <w:pPr>
        <w:pStyle w:val="FirstParagraph"/>
      </w:pPr>
      <w:r>
        <w:t xml:space="preserve">RQ1 is answered separately from the user study, against a labeled corpus of shell commands rather than through participants.  The separation is deliberate and has a practical consequence worth stating: this evaluation depends on no ethics approval, no recruitment, and no participant sessions, and can therefore be completed and reported independently of the study’s schedule.</w:t>
      </w:r>
    </w:p>
    <w:bookmarkStart w:id="96" w:name="a-corpus-construction"/>
    <w:p>
      <w:pPr>
        <w:pStyle w:val="Heading4"/>
      </w:pPr>
      <w:r>
        <w:t xml:space="preserve">a) Corpus Construction</w:t>
      </w:r>
    </w:p>
    <w:p>
      <w:pPr>
        <w:pStyle w:val="FirstParagraph"/>
      </w:pPr>
      <w:r>
        <w:t xml:space="preserve">The corpus is generated by a program, not assembled by hand, and is held as four partitions reported separately rather than pooled.  The first is NL2Bash (Lin et al., 2018),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user study can be added to it afterwards.</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96"/>
    <w:bookmarkStart w:id="97" w:name="b-ground-truth"/>
    <w:p>
      <w:pPr>
        <w:pStyle w:val="Heading4"/>
      </w:pPr>
      <w:r>
        <w:t xml:space="preserve">b) Ground Truth</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(e).</w:t>
      </w:r>
    </w:p>
    <w:bookmarkEnd w:id="97"/>
    <w:bookmarkStart w:id="98" w:name="c-baselines"/>
    <w:p>
      <w:pPr>
        <w:pStyle w:val="Heading4"/>
      </w:pPr>
      <w:r>
        <w:t xml:space="preserve">c)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(g) below: the dangerous-command check of OpenAI’s Codex CLI (OpenAI, 2026), ported from its source and verified against that source’s own unit tests, and cc-safety-net (kenryu42, 2026),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98"/>
    <w:bookmarkStart w:id="99" w:name="d-metrics"/>
    <w:p>
      <w:pPr>
        <w:pStyle w:val="Heading4"/>
      </w:pPr>
      <w:r>
        <w:t xml:space="preserve">d)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99"/>
    <w:bookmarkStart w:id="100"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above.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0"/>
    <w:bookmarkStart w:id="101" w:name="X595e773872722bb906c94c2167c830f5ec35da9"/>
    <w:p>
      <w:pPr>
        <w:pStyle w:val="Heading4"/>
      </w:pPr>
      <w:r>
        <w:t xml:space="preserve">f)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(§3.4(d)).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1"/>
    <w:bookmarkStart w:id="102" w:name="g-results-on-the-held-out-corpus"/>
    <w:p>
      <w:pPr>
        <w:pStyle w:val="Heading4"/>
      </w:pPr>
      <w:r>
        <w:t xml:space="preserve">g)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2"/>
    <w:bookmarkStart w:id="103" w:name="h-composition-ablation"/>
    <w:p>
      <w:pPr>
        <w:pStyle w:val="Heading4"/>
      </w:pPr>
      <w:r>
        <w:t xml:space="preserve">h) Composition Ablation</w:t>
      </w:r>
    </w:p>
    <w:p>
      <w:pPr>
        <w:pStyle w:val="FirstParagraph"/>
      </w:pPr>
      <w:r>
        <w:t xml:space="preserve">Section 1.4 states the analysis’s claim as what it adds on top of a table of what each known command does, not that it has none — a distinction raised directly by this study’s adviser in an earlier review: how much of the result above comes from the algorithm itself, and how much from that table?  The question had been answered only in prose.  It is answered here as a measurement, by an ablation that removes the one thing a table cannot do.  A second configuration of the analyzer, identical to the one scored above except that composition is disabled —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are each routed straight to the same unresolved verdict an unknown command receives, rather than analysed through — is run over the identical held-out corpus.  Every other dispatch path is untouched: the same per-command rule table, the same run-time resolution of command substitution, and the same &amp;&amp;/pipe/subshell traversal that requires no lookup beyond the table either configuration has.  If the table is where the result comes from, disabling composition should cost little; if composition is, it should cost a great deal.</w:t>
      </w:r>
    </w:p>
    <w:p>
      <w:pPr>
        <w:pStyle w:val="BodyText"/>
      </w:pPr>
      <w:r>
        <w:t xml:space="preserve">It costs a great deal.  Capture coverage, verified by the same sandboxed recovery check as the primary result, falls from 291 of 325 executable losses (89.5%) to 115 (35.4%) — the table alone recovers roughly a third of what the full analysis recovers.  McNemar’s exact test on the paired discordant items rejects equality overwhelmingly (p = 2.1×10</w:t>
      </w:r>
      <w:r>
        <w:rPr>
          <w:vertAlign w:val="superscript"/>
        </w:rPr>
        <w:t xml:space="preserve">−53</w:t>
      </w:r>
      <w:r>
        <w:t xml:space="preserve">), with a risk difference of +0.542 (95% Newcombe interval [+0.484, +0.593]) and an odds ratio undefined in the analysis’s favor: not one of the 176 discordant items favors the table-only configuration over the full one.  Silent loss is unchanged at 0.0% for both configurations, because the fail-closed default that the analysis falls back to for anything it cannot resolve does not depend on composition — a command it can no longer see through is treated exactly as an unknown command already is, which asks rather than runs silently.  Composition is therefore not what keeps the analysis safe; the table and the fail-closed default already do that, which is why Table 3.4 found the analysis indistinguishable from the fail-closed list on silent loss.  Composition is what makes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rPr>
          <w:b/>
          <w:bCs/>
        </w:rPr>
        <w:t xml:space="preserve">Table 3.5.</w:t>
      </w:r>
      <w:r>
        <w:t xml:space="preserve">  Composition ablation: the full analysis against the same rule table with composition disabled, on the held-out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Measure</w:t>
            </w:r>
          </w:p>
        </w:tc>
        <w:tc>
          <w:tcPr/>
          <w:p>
            <w:pPr>
              <w:pStyle w:val="Compact"/>
              <w:jc w:val="left"/>
            </w:pPr>
            <w:r>
              <w:t xml:space="preserve">Full analysis</w:t>
            </w:r>
          </w:p>
        </w:tc>
        <w:tc>
          <w:tcPr/>
          <w:p>
            <w:pPr>
              <w:pStyle w:val="Compact"/>
              <w:jc w:val="left"/>
            </w:pPr>
            <w:r>
              <w:t xml:space="preserve">Table alone, no composition</w:t>
            </w:r>
          </w:p>
        </w:tc>
        <w:tc>
          <w:tcPr/>
          <w:p>
            <w:pPr>
              <w:pStyle w:val="Compact"/>
              <w:jc w:val="left"/>
            </w:pPr>
            <w:r>
              <w:t xml:space="preserve">Discordant items (full right / table-alone right)</w:t>
            </w:r>
          </w:p>
        </w:tc>
        <w:tc>
          <w:tcPr/>
          <w:p>
            <w:pPr>
              <w:pStyle w:val="Compact"/>
              <w:jc w:val="left"/>
            </w:pPr>
            <w:r>
              <w:t xml:space="preserve">p, exact</w:t>
            </w:r>
          </w:p>
        </w:tc>
        <w:tc>
          <w:tcPr/>
          <w:p>
            <w:pPr>
              <w:pStyle w:val="Compact"/>
              <w:jc w:val="left"/>
            </w:pPr>
            <w:r>
              <w:t xml:space="preserve">Risk difference (95% Newcombe)</w:t>
            </w:r>
          </w:p>
        </w:tc>
      </w:tr>
      <w:tr>
        <w:tc>
          <w:tcPr/>
          <w:p>
            <w:pPr>
              <w:pStyle w:val="Compact"/>
              <w:jc w:val="left"/>
            </w:pPr>
            <w:r>
              <w:t xml:space="preserve">Capture coverage</w:t>
            </w:r>
          </w:p>
        </w:tc>
        <w:tc>
          <w:tcPr/>
          <w:p>
            <w:pPr>
              <w:pStyle w:val="Compact"/>
              <w:jc w:val="left"/>
            </w:pPr>
            <w:r>
              <w:t xml:space="preserve">291/325 = 89.5%</w:t>
            </w:r>
          </w:p>
        </w:tc>
        <w:tc>
          <w:tcPr/>
          <w:p>
            <w:pPr>
              <w:pStyle w:val="Compact"/>
              <w:jc w:val="left"/>
            </w:pPr>
            <w:r>
              <w:t xml:space="preserve">115/325 = 35.4%</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Silent loss</w:t>
            </w:r>
          </w:p>
        </w:tc>
        <w:tc>
          <w:tcPr/>
          <w:p>
            <w:pPr>
              <w:pStyle w:val="Compact"/>
              <w:jc w:val="left"/>
            </w:pPr>
            <w:r>
              <w:t xml:space="preserve">0/405 = 0.0%</w:t>
            </w:r>
          </w:p>
        </w:tc>
        <w:tc>
          <w:tcPr/>
          <w:p>
            <w:pPr>
              <w:pStyle w:val="Compact"/>
              <w:jc w:val="left"/>
            </w:pPr>
            <w:r>
              <w:t xml:space="preserve">0/405 = 0.0%</w:t>
            </w:r>
          </w:p>
        </w:tc>
        <w:tc>
          <w:tcPr/>
          <w:p>
            <w:pPr>
              <w:pStyle w:val="Compact"/>
              <w:jc w:val="left"/>
            </w:pPr>
            <w:r>
              <w:t xml:space="preserve">0 / 0 (no discordant pairs)</w:t>
            </w:r>
          </w:p>
        </w:tc>
        <w:tc>
          <w:tcPr/>
          <w:p>
            <w:pPr>
              <w:pStyle w:val="Compact"/>
              <w:jc w:val="left"/>
            </w:pPr>
            <w:r>
              <w:t xml:space="preserve">—</w:t>
            </w:r>
          </w:p>
        </w:tc>
        <w:tc>
          <w:tcPr/>
          <w:p>
            <w:pPr>
              <w:pStyle w:val="Compact"/>
              <w:jc w:val="left"/>
            </w:pPr>
            <w:r>
              <w:t xml:space="preserve">+0.000 [−0.009, +0.009]</w:t>
            </w:r>
          </w:p>
        </w:tc>
      </w:tr>
    </w:tbl>
    <w:p>
      <w:pPr>
        <w:pStyle w:val="BodyText"/>
      </w:pPr>
      <w:r>
        <w:t xml:space="preserve">This is a single, targeted comparison rather than a member of the four-test family in Table 3.4, since it answers a different question — how much of the result is composition, not whether the analysis beats a list — so no Holm correction is applied; at a single comparison the exact p-value already controls the family-wise error rate.  The gap concentrates where the design predicts it should: commands whose real target is hidden behind a wrapper argument or is not known until the command runs are exactly the cases composition exists to resolve, and the table-only configuration can do no better on them than an unknown command does, while commands whose effects are visible without composition — a literal path, a redirect, a chain joined by</w:t>
      </w:r>
      <w:r>
        <w:t xml:space="preserve"> </w:t>
      </w:r>
      <w:r>
        <w:rPr>
          <w:i/>
          <w:iCs/>
        </w:rPr>
        <w:t xml:space="preserve">&amp;&amp;</w:t>
      </w:r>
      <w:r>
        <w:t xml:space="preserve"> </w:t>
      </w:r>
      <w:r>
        <w:t xml:space="preserve">— cost the table-only configuration little or nothing, because the table already covers them.  The reported result in sections (f) and (g) above is therefore attributable to composition specifically and not to the table it is sometimes mistaken for.</w:t>
      </w:r>
    </w:p>
    <w:bookmarkEnd w:id="103"/>
    <w:bookmarkEnd w:id="104"/>
    <w:bookmarkStart w:id="105" w:name="ch3-sec3-2"/>
    <w:p>
      <w:pPr>
        <w:pStyle w:val="Heading3"/>
      </w:pPr>
      <w:r>
        <w:t xml:space="preserve">3.2 Evaluation dataset</w:t>
      </w:r>
    </w:p>
    <w:p>
      <w:pPr>
        <w:pStyle w:val="FirstParagraph"/>
      </w:pPr>
      <w:r>
        <w:t xml:space="preserve">The system is evaluated against two datasets: the OSWorld benchmark task suite (Xie et al., 2024)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5"/>
    <w:bookmarkStart w:id="106" w:name="ch3-sec3-3"/>
    <w:p>
      <w:pPr>
        <w:pStyle w:val="Heading3"/>
      </w:pPr>
      <w:r>
        <w:t xml:space="preserve">3.3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6"/>
    <w:bookmarkStart w:id="111" w:name="ch3-sec3-4"/>
    <w:p>
      <w:pPr>
        <w:pStyle w:val="Heading3"/>
      </w:pPr>
      <w:r>
        <w:t xml:space="preserve">3.4 Criteria and formula</w:t>
      </w:r>
    </w:p>
    <w:p>
      <w:pPr>
        <w:pStyle w:val="FirstParagraph"/>
      </w:pPr>
      <w:r>
        <w:t xml:space="preserve">The following metrics and formulas are used to evaluate SynapseOS against the baseline:</w:t>
      </w:r>
    </w:p>
    <w:bookmarkStart w:id="107"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3.5.</w:t>
      </w:r>
    </w:p>
    <w:bookmarkEnd w:id="107"/>
    <w:bookmarkStart w:id="108"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08"/>
    <w:bookmarkStart w:id="109" w:name="c-user-satisfaction"/>
    <w:p>
      <w:pPr>
        <w:pStyle w:val="Heading4"/>
      </w:pPr>
      <w:r>
        <w:t xml:space="preserve">c) User Satisfaction</w:t>
      </w:r>
    </w:p>
    <w:p>
      <w:pPr>
        <w:pStyle w:val="FirstParagraph"/>
      </w:pPr>
      <w:r>
        <w:t xml:space="preserve">SUS scores are computed per the standard scoring procedure (Brooke, 1996) to produce a score on a 0–100 scale; a score above 68 is conventionally treated as above-average usability (Sauro and Lewis, 2016), and the instrument’s validity and interpretation across a large sample of studies are established by Bangor and colleagues (2008).  NASA-TLX scores are computed as the unweighted mean of the six subscale ratings (Hart and Staveland, 1988) to produce a composite workload score per participant per condition.  Because the central claim of this study concerns access rather than speed, workload and task success are treated as primary outcomes alongside completion time, not as secondary measures.</w:t>
      </w:r>
    </w:p>
    <w:p>
      <w:pPr>
        <w:pStyle w:val="BodyText"/>
      </w:pPr>
      <w:r>
        <w:t xml:space="preserve">Qualitative interview data is analyzed using thematic analysis to identify recurring themes in participant perceptions of both conditions.</w:t>
      </w:r>
    </w:p>
    <w:bookmarkEnd w:id="109"/>
    <w:bookmarkStart w:id="110"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study’s central claim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0"/>
    <w:bookmarkEnd w:id="111"/>
    <w:bookmarkStart w:id="112" w:name="ch3-sec3-5"/>
    <w:p>
      <w:pPr>
        <w:pStyle w:val="Heading3"/>
      </w:pPr>
      <w:r>
        <w:t xml:space="preserve">3.5 Data analysis plan</w:t>
      </w:r>
    </w:p>
    <w:p>
      <w:pPr>
        <w:pStyle w:val="FirstParagraph"/>
      </w:pPr>
      <w:r>
        <w:t xml:space="preserve">Quantitative analysis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(2006):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2"/>
    <w:bookmarkStart w:id="113" w:name="ch3-sec3-6"/>
    <w:p>
      <w:pPr>
        <w:pStyle w:val="Heading3"/>
      </w:pPr>
      <w:r>
        <w:t xml:space="preserve">3.6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that bear on RQ3.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3"/>
    <w:bookmarkEnd w:id="114"/>
    <w:bookmarkStart w:id="123" w:name="ch3-notes"/>
    <w:p>
      <w:pPr>
        <w:pStyle w:val="Heading2"/>
      </w:pPr>
      <w:r>
        <w:t xml:space="preserve">Notes</w:t>
      </w:r>
    </w:p>
    <w:p>
      <w:pPr>
        <w:pStyle w:val="Compact"/>
        <w:numPr>
          <w:ilvl w:val="0"/>
          <w:numId w:val="1019"/>
        </w:numPr>
      </w:pPr>
      <w:bookmarkStart w:id="11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5"/>
    </w:p>
    <w:p>
      <w:pPr>
        <w:pStyle w:val="Compact"/>
        <w:numPr>
          <w:ilvl w:val="0"/>
          <w:numId w:val="1019"/>
        </w:numPr>
      </w:pPr>
      <w:bookmarkStart w:id="116" w:name="ch3-fn2"/>
      <w:r>
        <w:t xml:space="preserve">Terminal User Interface: a text-based interactive interface that runs in a command-line terminal.  TUI mode requires no graphical display server or desktop environment and can be accessed remotely over SSH.</w:t>
      </w:r>
      <w:bookmarkEnd w:id="116"/>
    </w:p>
    <w:p>
      <w:pPr>
        <w:pStyle w:val="Compact"/>
        <w:numPr>
          <w:ilvl w:val="0"/>
          <w:numId w:val="1019"/>
        </w:numPr>
      </w:pPr>
      <w:bookmarkStart w:id="117" w:name="ch3-fn3"/>
      <w:r>
        <w:t xml:space="preserve">The SynapseOS prototype uses Qwen2.5-Coder-3B-Instruct, a code-specialized open-weights model selected for its NL2Bash accuracy.  See Section 2.1a for selection rationale and benchmark evidence.</w:t>
      </w:r>
      <w:bookmarkEnd w:id="117"/>
    </w:p>
    <w:p>
      <w:pPr>
        <w:pStyle w:val="Compact"/>
        <w:numPr>
          <w:ilvl w:val="0"/>
          <w:numId w:val="1019"/>
        </w:numPr>
      </w:pPr>
      <w:bookmarkStart w:id="11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18"/>
    </w:p>
    <w:p>
      <w:pPr>
        <w:pStyle w:val="Compact"/>
        <w:numPr>
          <w:ilvl w:val="0"/>
          <w:numId w:val="1019"/>
        </w:numPr>
      </w:pPr>
      <w:bookmarkStart w:id="119" w:name="ch3-fn5"/>
      <w:r>
        <w:t xml:space="preserve">Open-weights models make their trained parameters publicly available for local download and use; users run inference on their own hardware without routing queries to an external service provider.</w:t>
      </w:r>
      <w:bookmarkEnd w:id="119"/>
    </w:p>
    <w:p>
      <w:pPr>
        <w:pStyle w:val="Compact"/>
        <w:numPr>
          <w:ilvl w:val="0"/>
          <w:numId w:val="1019"/>
        </w:numPr>
      </w:pPr>
      <w:bookmarkStart w:id="120" w:name="ch3-fn6"/>
      <w:r>
        <w:t xml:space="preserve">Quantization reduces the numerical precision of model weights to lower memory requirements.  At 4-bit precision, a model that would otherwise require dedicated GPU memory can run on a standard CPU with modest RAM.</w:t>
      </w:r>
      <w:bookmarkEnd w:id="120"/>
    </w:p>
    <w:p>
      <w:pPr>
        <w:pStyle w:val="Compact"/>
        <w:numPr>
          <w:ilvl w:val="0"/>
          <w:numId w:val="1019"/>
        </w:numPr>
      </w:pPr>
      <w:bookmarkStart w:id="12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1"/>
    </w:p>
    <w:p>
      <w:pPr>
        <w:pStyle w:val="Compact"/>
        <w:numPr>
          <w:ilvl w:val="0"/>
          <w:numId w:val="1019"/>
        </w:numPr>
      </w:pPr>
      <w:bookmarkStart w:id="122" w:name="ch3-fn8"/>
      <w:r>
        <w:t xml:space="preserve">NL2Bash is a benchmark dataset pairing natural language command descriptions with their corresponding bash shell commands, used to evaluate a model’s accuracy in translating natural language into executable commands.</w:t>
      </w:r>
      <w:bookmarkEnd w:id="122"/>
    </w:p>
    <w:bookmarkEnd w:id="123"/>
    <w:bookmarkStart w:id="124" w:name="sec-master-references"/>
    <w:p>
      <w:pPr>
        <w:pStyle w:val="FirstParagraph"/>
      </w:pPr>
      <w:r>
        <w:t xml:space="preserve">REFERENCES</w:t>
      </w:r>
    </w:p>
    <w:bookmarkEnd w:id="124"/>
    <w:p>
      <w:pPr>
        <w:pStyle w:val="BodyText"/>
      </w:pPr>
      <w:r>
        <w:t xml:space="preserve">Bangor, A., Kortum, P. T., &amp; Miller, J. T. (2008). An empirical evaluation of the System Usability Scale.</w:t>
      </w:r>
      <w:r>
        <w:t xml:space="preserve"> </w:t>
      </w:r>
      <w:r>
        <w:rPr>
          <w:i/>
          <w:iCs/>
        </w:rPr>
        <w:t xml:space="preserve">International Journal of Human–Computer Interaction, 24</w:t>
      </w:r>
      <w:r>
        <w:t xml:space="preserve">(6), 574–594.</w:t>
      </w:r>
    </w:p>
    <w:p>
      <w:pPr>
        <w:pStyle w:val="BodyText"/>
      </w:pPr>
      <w:r>
        <w:t xml:space="preserve">Becker, B., Jeannerod, N., Marché, C., Régis-Gianas, Y., Sighireanu, M., &amp; Treinen, R. (2022). The CoLiS platform for the analysis of maintainer scripts in Debian software packages.</w:t>
      </w:r>
      <w:r>
        <w:t xml:space="preserve"> </w:t>
      </w:r>
      <w:r>
        <w:rPr>
          <w:i/>
          <w:iCs/>
        </w:rPr>
        <w:t xml:space="preserve">International Journal on Software Tools for Technology Transfer, 24</w:t>
      </w:r>
      <w:r>
        <w:t xml:space="preserve">(5), 717–733.</w:t>
      </w:r>
    </w:p>
    <w:p>
      <w:pPr>
        <w:pStyle w:val="BodyText"/>
      </w:pPr>
      <w:r>
        <w:t xml:space="preserve">Braun, V., &amp; Clarke, V. (2006). Using thematic analysis in psychology.</w:t>
      </w:r>
      <w:r>
        <w:t xml:space="preserve"> </w:t>
      </w:r>
      <w:r>
        <w:rPr>
          <w:i/>
          <w:iCs/>
        </w:rPr>
        <w:t xml:space="preserve">Qualitative Research in Psychology, 3</w:t>
      </w:r>
      <w:r>
        <w:t xml:space="preserve">(2), 77–101.</w:t>
      </w:r>
    </w:p>
    <w:p>
      <w:pPr>
        <w:pStyle w:val="BodyText"/>
      </w:pPr>
      <w:r>
        <w:t xml:space="preserve">Brooke, J. (1996). SUS: A "quick and dirty" usability scale. In P. W. Jordan, B. Thomas, I. L. McClelland, &amp; B. Weerdmeester (Eds.),</w:t>
      </w:r>
      <w:r>
        <w:t xml:space="preserve"> </w:t>
      </w:r>
      <w:r>
        <w:rPr>
          <w:i/>
          <w:iCs/>
        </w:rPr>
        <w:t xml:space="preserve">Usability Evaluation in Industry</w:t>
      </w:r>
      <w:r>
        <w:t xml:space="preserve"> </w:t>
      </w:r>
      <w:r>
        <w:t xml:space="preserve">(pp. 189–194). Taylor &amp; Francis.</w:t>
      </w:r>
    </w:p>
    <w:p>
      <w:pPr>
        <w:pStyle w:val="BodyText"/>
      </w:pPr>
      <w:r>
        <w:t xml:space="preserve">Clark, L., Pantidi, N., Cooney, O., Doyle, P. R., Garaialde, D., Edwards, J., Spillane, B., Gilmartin, E., Murad, C., Munteanu, C., Wade, V., &amp; Cowan, B. R. (2019). What makes a good conversation? Challenges in designing truly conversational agents. In</w:t>
      </w:r>
      <w:r>
        <w:t xml:space="preserve"> </w:t>
      </w:r>
      <w:r>
        <w:rPr>
          <w:i/>
          <w:iCs/>
        </w:rPr>
        <w:t xml:space="preserve">Proceedings of the 2019 CHI Conference on Human Factors in Computing Systems (CHI '19)</w:t>
      </w:r>
      <w:r>
        <w:t xml:space="preserve">, Paper 475, 1–12.</w:t>
      </w:r>
    </w:p>
    <w:p>
      <w:pPr>
        <w:pStyle w:val="BodyText"/>
      </w:pPr>
      <w:r>
        <w:t xml:space="preserve">Cousot, P., &amp; Cousot, R. (1977). Abstract interpretation: A unified lattice model for static analysis of programs by construction or approximation of fixpoints.</w:t>
      </w:r>
      <w:r>
        <w:t xml:space="preserve"> </w:t>
      </w:r>
      <w:r>
        <w:rPr>
          <w:i/>
          <w:iCs/>
        </w:rPr>
        <w:t xml:space="preserve">Conference Record of the Sixth Annual ACM SIGPLAN-SIGACT Symposium on Principles of Programming Languages (POPL '77)</w:t>
      </w:r>
      <w:r>
        <w:t xml:space="preserve">, 238–252.</w:t>
      </w:r>
    </w:p>
    <w:p>
      <w:pPr>
        <w:pStyle w:val="BodyText"/>
      </w:pPr>
      <w:r>
        <w:t xml:space="preserve">Creswell, J. W., &amp; Plano Clark, V. L. (2018).</w:t>
      </w:r>
      <w:r>
        <w:t xml:space="preserve"> </w:t>
      </w:r>
      <w:r>
        <w:rPr>
          <w:i/>
          <w:iCs/>
        </w:rPr>
        <w:t xml:space="preserve">Designing and Conducting Mixed Methods Research</w:t>
      </w:r>
      <w:r>
        <w:t xml:space="preserve"> </w:t>
      </w:r>
      <w:r>
        <w:t xml:space="preserve">(3rd ed.). SAGE Publications.</w:t>
      </w:r>
    </w:p>
    <w:p>
      <w:pPr>
        <w:pStyle w:val="BodyText"/>
      </w:pPr>
      <w:r>
        <w:t xml:space="preserve">Deng, X., Gu, Y., Zheng, B., Chen, S., Stevens, S., Wang, B., Sun, H., &amp; Su, Y.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Greenberg, M., &amp; Blatt, A. J. (2020). Executable formal semantics for the POSIX shell.</w:t>
      </w:r>
      <w:r>
        <w:t xml:space="preserve"> </w:t>
      </w:r>
      <w:r>
        <w:rPr>
          <w:i/>
          <w:iCs/>
        </w:rPr>
        <w:t xml:space="preserve">Proceedings of the ACM on Programming Languages, 4</w:t>
      </w:r>
      <w:r>
        <w:t xml:space="preserve">(POPL), Article 43.</w:t>
      </w:r>
    </w:p>
    <w:p>
      <w:pPr>
        <w:pStyle w:val="BodyText"/>
      </w:pPr>
      <w:r>
        <w:t xml:space="preserve">Gyawali, B. R., Achalla, S., Kallas, K., &amp; Kumar, S. (2025). NaSh: Guardrails for an LLM-Powered Natural Language Shell.</w:t>
      </w:r>
      <w:r>
        <w:t xml:space="preserve"> </w:t>
      </w:r>
      <w:r>
        <w:rPr>
          <w:i/>
          <w:iCs/>
        </w:rPr>
        <w:t xml:space="preserve">arXiv:2506.13028</w:t>
      </w:r>
      <w:r>
        <w:t xml:space="preserve">.</w:t>
      </w:r>
    </w:p>
    <w:p>
      <w:pPr>
        <w:pStyle w:val="BodyText"/>
      </w:pPr>
      <w:r>
        <w:t xml:space="preserve">Han, W., Zeng, Z., Huang, J., Jiang, S., et al. (2025). GUIRoboTron-Speech: Towards Automated GUI Agents Based on Speech Instructions.</w:t>
      </w:r>
      <w:r>
        <w:t xml:space="preserve"> </w:t>
      </w:r>
      <w:r>
        <w:rPr>
          <w:i/>
          <w:iCs/>
        </w:rPr>
        <w:t xml:space="preserve">arXiv:2506.11127</w:t>
      </w:r>
      <w:r>
        <w:t xml:space="preserve">.</w:t>
      </w:r>
    </w:p>
    <w:p>
      <w:pPr>
        <w:pStyle w:val="BodyText"/>
      </w:pPr>
      <w:r>
        <w:t xml:space="preserve">Hart, S. G., &amp; Staveland, L. E. (1988). Development of NASA-TLX (Task Load Index): Results of empirical and theoretical research. In P. A. Hancock &amp; N. Meshkati (Eds.),</w:t>
      </w:r>
      <w:r>
        <w:t xml:space="preserve"> </w:t>
      </w:r>
      <w:r>
        <w:rPr>
          <w:i/>
          <w:iCs/>
        </w:rPr>
        <w:t xml:space="preserve">Human Mental Workload</w:t>
      </w:r>
      <w:r>
        <w:t xml:space="preserve"> </w:t>
      </w:r>
      <w:r>
        <w:t xml:space="preserve">(Advances in Psychology, Vol. 52, pp. 139–183). North-Holland.</w:t>
      </w:r>
    </w:p>
    <w:p>
      <w:pPr>
        <w:pStyle w:val="BodyText"/>
      </w:pPr>
      <w:r>
        <w:t xml:space="preserve">Hong, W., Wang, W., Lv, Q., Xu, J., Yu, W., Ji, J., Wang, Y., Wang, Z., Zhang, Y., Li, J., Xu, B., Dong, Y., Ding, M., &amp; Tang, J. (2024). CogAgent: A Visual Language Model for GUI Agents. In</w:t>
      </w:r>
      <w:r>
        <w:t xml:space="preserve"> </w:t>
      </w:r>
      <w:r>
        <w:rPr>
          <w:i/>
          <w:iCs/>
        </w:rPr>
        <w:t xml:space="preserve">Proceedings of CVPR 2024</w:t>
      </w:r>
      <w:r>
        <w:t xml:space="preserve">.</w:t>
      </w:r>
    </w:p>
    <w:p>
      <w:pPr>
        <w:pStyle w:val="BodyText"/>
      </w:pPr>
      <w:r>
        <w:t xml:space="preserve">Hui, T., Zhang, Y., Jiang, B., Sun, J., Cheng, F., Lin, X., &amp; Yang, Y. (2025). WinClick: GUI Grounding with Multimodal Large Language Models.</w:t>
      </w:r>
      <w:r>
        <w:t xml:space="preserve"> </w:t>
      </w:r>
      <w:r>
        <w:rPr>
          <w:i/>
          <w:iCs/>
        </w:rPr>
        <w:t xml:space="preserve">arXiv:2503.04730</w:t>
      </w:r>
      <w:r>
        <w:t xml:space="preserve">.</w:t>
      </w:r>
    </w:p>
    <w:p>
      <w:pPr>
        <w:pStyle w:val="BodyText"/>
      </w:pPr>
      <w:r>
        <w:t xml:space="preserve">Hutchins, E. L., Hollan, J. D., &amp; Norman, D. A. (1985). Direct manipulation interfaces.</w:t>
      </w:r>
      <w:r>
        <w:t xml:space="preserve"> </w:t>
      </w:r>
      <w:r>
        <w:rPr>
          <w:i/>
          <w:iCs/>
        </w:rPr>
        <w:t xml:space="preserve">Human–Computer Interaction, 1</w:t>
      </w:r>
      <w:r>
        <w:t xml:space="preserve">(4), 311–338.</w:t>
      </w:r>
    </w:p>
    <w:p>
      <w:pPr>
        <w:pStyle w:val="BodyText"/>
      </w:pPr>
      <w:r>
        <w:t xml:space="preserve">Jacobs, J., Lapon, J., &amp; Naessens, V. (2026). Local LLMs for NL2Bash: A Large-Scale Open-Source Model Evaluation for Bash Command Generation.</w:t>
      </w:r>
      <w:r>
        <w:t xml:space="preserve"> </w:t>
      </w:r>
      <w:r>
        <w:rPr>
          <w:i/>
          <w:iCs/>
        </w:rPr>
        <w:t xml:space="preserve">NDSS Workshop on LLM Assisted Security and Trust Exploration (LAST-X 2026)</w:t>
      </w:r>
      <w:r>
        <w:t xml:space="preserve">.</w:t>
      </w:r>
    </w:p>
    <w:p>
      <w:pPr>
        <w:pStyle w:val="BodyText"/>
      </w:pPr>
      <w:r>
        <w:t xml:space="preserve">Jouvelot, P., &amp; Gifford, D. K. (1991). Algebraic reconstruction of types and effects.</w:t>
      </w:r>
      <w:r>
        <w:t xml:space="preserve"> </w:t>
      </w:r>
      <w:r>
        <w:rPr>
          <w:i/>
          <w:iCs/>
        </w:rPr>
        <w:t xml:space="preserve">Proceedings of the 18th ACM SIGPLAN-SIGACT Symposium on Principles of Programming Languages (POPL '91)</w:t>
      </w:r>
      <w:r>
        <w:t xml:space="preserve">, 303–310.</w:t>
      </w:r>
    </w:p>
    <w:p>
      <w:pPr>
        <w:pStyle w:val="BodyText"/>
      </w:pPr>
      <w:r>
        <w:t xml:space="preserve">kenryu42. (2026).</w:t>
      </w:r>
      <w:r>
        <w:t xml:space="preserve"> </w:t>
      </w:r>
      <w:r>
        <w:rPr>
          <w:i/>
          <w:iCs/>
        </w:rPr>
        <w:t xml:space="preserve">cc-safety-net</w:t>
      </w:r>
      <w:r>
        <w:t xml:space="preserve"> </w:t>
      </w:r>
      <w:r>
        <w:t xml:space="preserve">(Version 2.6.1) [Computer software]. GitHub repository kenryu42/cc-safety-net.</w:t>
      </w:r>
    </w:p>
    <w:p>
      <w:pPr>
        <w:pStyle w:val="BodyText"/>
      </w:pPr>
      <w:r>
        <w:t xml:space="preserve">Li, Y., He, J., Zhou, X., Zhang, Y., &amp; Baldridge, J. (2020). Mapping Natural Language Instructions to Mobile UI Action Sequences. In</w:t>
      </w:r>
      <w:r>
        <w:t xml:space="preserve"> </w:t>
      </w:r>
      <w:r>
        <w:rPr>
          <w:i/>
          <w:iCs/>
        </w:rPr>
        <w:t xml:space="preserve">Proceedings of ACL 2020</w:t>
      </w:r>
      <w:r>
        <w:t xml:space="preserve">, 8198–8210.</w:t>
      </w:r>
    </w:p>
    <w:p>
      <w:pPr>
        <w:pStyle w:val="BodyText"/>
      </w:pPr>
      <w:r>
        <w:t xml:space="preserve">Lin, X. V., Wang, C., Zettlemoyer, L., &amp; Ernst, M. D. (2018). NL2Bash: A corpus and semantic parser for natural language interface to the Linux operating system.</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Liu, R., Zhe, T., Wang, D., Yao, Z., Liu, K., Fu, Y., Liu, H., &amp; Pei, J. (2026). AgentOS: From Application Silos to a Natural Language-Driven Data Ecosystem.</w:t>
      </w:r>
      <w:r>
        <w:t xml:space="preserve"> </w:t>
      </w:r>
      <w:r>
        <w:rPr>
          <w:i/>
          <w:iCs/>
        </w:rPr>
        <w:t xml:space="preserve">arXiv:2603.08938</w:t>
      </w:r>
      <w:r>
        <w:t xml:space="preserve">.</w:t>
      </w:r>
    </w:p>
    <w:p>
      <w:pPr>
        <w:pStyle w:val="BodyText"/>
      </w:pPr>
      <w:r>
        <w:t xml:space="preserve">Lu, J., Zhang, Z., Yang, F., Zhang, J., Wang, L., Du, C., Lin, Q., Rajmohan, S., Zhang, D., &amp; Zhang, Q. (2024). AXIS: Efficient Human-Agent-Computer Interaction with API-First LLM-Based Agents.</w:t>
      </w:r>
      <w:r>
        <w:t xml:space="preserve"> </w:t>
      </w:r>
      <w:r>
        <w:rPr>
          <w:i/>
          <w:iCs/>
        </w:rPr>
        <w:t xml:space="preserve">arXiv:2409.17140</w:t>
      </w:r>
      <w:r>
        <w:t xml:space="preserve">.</w:t>
      </w:r>
    </w:p>
    <w:p>
      <w:pPr>
        <w:pStyle w:val="BodyText"/>
      </w:pPr>
      <w:r>
        <w:t xml:space="preserve">Luger, E., &amp; Sellen, A.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5286–5297.</w:t>
      </w:r>
    </w:p>
    <w:p>
      <w:pPr>
        <w:pStyle w:val="BodyText"/>
      </w:pPr>
      <w:r>
        <w:t xml:space="preserve">Mazurak, K., &amp; Zdancewic, S. (2007). ABASH: Finding bugs in bash scripts.</w:t>
      </w:r>
      <w:r>
        <w:t xml:space="preserve"> </w:t>
      </w:r>
      <w:r>
        <w:rPr>
          <w:i/>
          <w:iCs/>
        </w:rPr>
        <w:t xml:space="preserve">Proceedings of the 2007 Workshop on Programming Languages and Analysis for Security (PLAS '07)</w:t>
      </w:r>
      <w:r>
        <w:t xml:space="preserve">.</w:t>
      </w:r>
    </w:p>
    <w:p>
      <w:pPr>
        <w:pStyle w:val="BodyText"/>
      </w:pPr>
      <w:r>
        <w:t xml:space="preserve">Mehendale, S., &amp; Walishetti, A. (2024). DexAssist: A Voice-Enabled Dual-LLM Framework for Accessible Web Navigation.</w:t>
      </w:r>
      <w:r>
        <w:t xml:space="preserve"> </w:t>
      </w:r>
      <w:r>
        <w:rPr>
          <w:i/>
          <w:iCs/>
        </w:rPr>
        <w:t xml:space="preserve">arXiv:2411.12214</w:t>
      </w:r>
      <w:r>
        <w:t xml:space="preserve">.</w:t>
      </w:r>
    </w:p>
    <w:p>
      <w:pPr>
        <w:pStyle w:val="BodyText"/>
      </w:pPr>
      <w:r>
        <w:t xml:space="preserve">Niu, R., Li, J., Wang, S., Fu, Y., Hu, X., Leng, X., Kong, H., Chang, Y., &amp; Wang, Q. (2024). ScreenAgent: A Vision Language Model-driven Computer Control Agent.</w:t>
      </w:r>
      <w:r>
        <w:t xml:space="preserve"> </w:t>
      </w:r>
      <w:r>
        <w:rPr>
          <w:i/>
          <w:iCs/>
        </w:rPr>
        <w:t xml:space="preserve">arXiv:2402.07945</w:t>
      </w:r>
      <w:r>
        <w:t xml:space="preserve">.</w:t>
      </w:r>
    </w:p>
    <w:p>
      <w:pPr>
        <w:pStyle w:val="BodyText"/>
      </w:pPr>
      <w:r>
        <w:t xml:space="preserve">Norman, D. A. (1981). The trouble with UNIX: The user interface is horrid.</w:t>
      </w:r>
      <w:r>
        <w:t xml:space="preserve"> </w:t>
      </w:r>
      <w:r>
        <w:rPr>
          <w:i/>
          <w:iCs/>
        </w:rPr>
        <w:t xml:space="preserve">Datamation, 27</w:t>
      </w:r>
      <w:r>
        <w:t xml:space="preserve">(12), 139–150.</w:t>
      </w:r>
    </w:p>
    <w:p>
      <w:pPr>
        <w:pStyle w:val="BodyText"/>
      </w:pPr>
      <w:r>
        <w:t xml:space="preserve">Norman, D. A. (1986). Cognitive engineering. In D. A. Norman &amp; S. W. Draper (Eds.),</w:t>
      </w:r>
      <w:r>
        <w:t xml:space="preserve"> </w:t>
      </w:r>
      <w:r>
        <w:rPr>
          <w:i/>
          <w:iCs/>
        </w:rPr>
        <w:t xml:space="preserve">User Centered System Design: New Perspectives on Human-Computer Interaction</w:t>
      </w:r>
      <w:r>
        <w:t xml:space="preserve"> </w:t>
      </w:r>
      <w:r>
        <w:t xml:space="preserve">(pp. 31–61). Lawrence Erlbaum Associates.</w:t>
      </w:r>
    </w:p>
    <w:p>
      <w:pPr>
        <w:pStyle w:val="BodyText"/>
      </w:pPr>
      <w:r>
        <w:t xml:space="preserve">OpenAI. (2026).</w:t>
      </w:r>
      <w:r>
        <w:t xml:space="preserve"> </w:t>
      </w:r>
      <w:r>
        <w:rPr>
          <w:i/>
          <w:iCs/>
        </w:rPr>
        <w:t xml:space="preserve">Codex CLI</w:t>
      </w:r>
      <w:r>
        <w:t xml:space="preserve"> </w:t>
      </w:r>
      <w:r>
        <w:t xml:space="preserve">(Commit 1f4c473) [Computer software]. GitHub repository openai/codex.</w:t>
      </w:r>
    </w:p>
    <w:p>
      <w:pPr>
        <w:pStyle w:val="BodyText"/>
      </w:pPr>
      <w:r>
        <w:t xml:space="preserve">Padmanabha, A., Yuan, J., Gupta, J., Karachiwalla, Z., Majidi, C., Admoni, H., &amp; Erickson, Z.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Park, J., Tang, P., Das, S., Appalaraju, S., Singh, K. Y., Manmatha, R., &amp; Ghadar, S.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Rawles, C., Li, A., Rodriguez, D., Riva, O., &amp; Lillicrap, T.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Sauro, J., &amp; Lewis, J. R.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Shneiderman, B. (1983). Direct manipulation: A step beyond programming languages.</w:t>
      </w:r>
      <w:r>
        <w:t xml:space="preserve"> </w:t>
      </w:r>
      <w:r>
        <w:rPr>
          <w:i/>
          <w:iCs/>
        </w:rPr>
        <w:t xml:space="preserve">Computer, 16</w:t>
      </w:r>
      <w:r>
        <w:t xml:space="preserve">(8), 57–69.</w:t>
      </w:r>
    </w:p>
    <w:p>
      <w:pPr>
        <w:pStyle w:val="BodyText"/>
      </w:pPr>
      <w:r>
        <w:t xml:space="preserve">Shneiderman, B. (2000). The limits of speech recognition.</w:t>
      </w:r>
      <w:r>
        <w:t xml:space="preserve"> </w:t>
      </w:r>
      <w:r>
        <w:rPr>
          <w:i/>
          <w:iCs/>
        </w:rPr>
        <w:t xml:space="preserve">Communications of the ACM, 43</w:t>
      </w:r>
      <w:r>
        <w:t xml:space="preserve">(9), 63–65.</w:t>
      </w:r>
    </w:p>
    <w:p>
      <w:pPr>
        <w:pStyle w:val="BodyText"/>
      </w:pPr>
      <w:r>
        <w:t xml:space="preserve">Shneiderman, B., &amp; Maes, P. (1997). Direct manipulation vs. interface agents.</w:t>
      </w:r>
      <w:r>
        <w:t xml:space="preserve"> </w:t>
      </w:r>
      <w:r>
        <w:rPr>
          <w:i/>
          <w:iCs/>
        </w:rPr>
        <w:t xml:space="preserve">interactions, 4</w:t>
      </w:r>
      <w:r>
        <w:t xml:space="preserve">(6), 42–61.</w:t>
      </w:r>
    </w:p>
    <w:p>
      <w:pPr>
        <w:pStyle w:val="BodyText"/>
      </w:pPr>
      <w:r>
        <w:t xml:space="preserve">Talpin, J.-P., &amp; Jouvelot, P. (1994). The type and effect discipline.</w:t>
      </w:r>
      <w:r>
        <w:t xml:space="preserve"> </w:t>
      </w:r>
      <w:r>
        <w:rPr>
          <w:i/>
          <w:iCs/>
        </w:rPr>
        <w:t xml:space="preserve">Information and Computation, 111</w:t>
      </w:r>
      <w:r>
        <w:t xml:space="preserve">(2), 245–296.</w:t>
      </w:r>
    </w:p>
    <w:p>
      <w:pPr>
        <w:pStyle w:val="BodyText"/>
      </w:pPr>
      <w:r>
        <w:t xml:space="preserve">van Dam, H. G. W. (2025). A Multimodal GUI Architecture for Interfacing with LLM-Based Conversational Assistants.</w:t>
      </w:r>
      <w:r>
        <w:t xml:space="preserve"> </w:t>
      </w:r>
      <w:r>
        <w:rPr>
          <w:i/>
          <w:iCs/>
        </w:rPr>
        <w:t xml:space="preserve">arXiv:2510.06223</w:t>
      </w:r>
      <w:r>
        <w:t xml:space="preserve">.</w:t>
      </w:r>
    </w:p>
    <w:p>
      <w:pPr>
        <w:pStyle w:val="BodyText"/>
      </w:pPr>
      <w:r>
        <w:t xml:space="preserve">Wang, J., Xu, H., Ye, J., Yan, M., Shen, W., Zhang, J., Huang, F., &amp; Sang, J. (2024). Mobile-Agent: Autonomous Multi-Modal Mobile Device Agent with Visual Perception.</w:t>
      </w:r>
      <w:r>
        <w:t xml:space="preserve"> </w:t>
      </w:r>
      <w:r>
        <w:rPr>
          <w:i/>
          <w:iCs/>
        </w:rPr>
        <w:t xml:space="preserve">arXiv:2401.16158</w:t>
      </w:r>
      <w:r>
        <w:t xml:space="preserve">.</w:t>
      </w:r>
    </w:p>
    <w:p>
      <w:pPr>
        <w:pStyle w:val="BodyText"/>
      </w:pPr>
      <w:r>
        <w:t xml:space="preserve">Westenfelder, F., Hemberg, E., Tulla, M., Moskal, S., O'Reilly, U.-M., &amp; Chiricescu, S. (2025). LLM-Supported Natural Language to Bash Translation.</w:t>
      </w:r>
      <w:r>
        <w:t xml:space="preserve"> </w:t>
      </w:r>
      <w:r>
        <w:rPr>
          <w:i/>
          <w:iCs/>
        </w:rPr>
        <w:t xml:space="preserve">arXiv:2502.06858</w:t>
      </w:r>
      <w:r>
        <w:t xml:space="preserve">.</w:t>
      </w:r>
    </w:p>
    <w:p>
      <w:pPr>
        <w:pStyle w:val="BodyText"/>
      </w:pPr>
      <w:r>
        <w:t xml:space="preserve">Whiteside, J., Jones, S., Levy, P. S., &amp; Wixon, D. (1985). User performance with command, menu, and iconic interfaces. In</w:t>
      </w:r>
      <w:r>
        <w:t xml:space="preserve"> </w:t>
      </w:r>
      <w:r>
        <w:rPr>
          <w:i/>
          <w:iCs/>
        </w:rPr>
        <w:t xml:space="preserve">Proceedings of the SIGCHI Conference on Human Factors in Computing Systems (CHI '85)</w:t>
      </w:r>
      <w:r>
        <w:t xml:space="preserve">, 185–191.</w:t>
      </w:r>
    </w:p>
    <w:p>
      <w:pPr>
        <w:pStyle w:val="BodyText"/>
      </w:pPr>
      <w:r>
        <w:t xml:space="preserve">Wilensky, R., Chin, D. N., Luria, M., Martin, J., Mayfield, J., &amp; Wu, D. (1988). The Berkeley Unix Consultant Project.</w:t>
      </w:r>
      <w:r>
        <w:t xml:space="preserve"> </w:t>
      </w:r>
      <w:r>
        <w:rPr>
          <w:i/>
          <w:iCs/>
        </w:rPr>
        <w:t xml:space="preserve">Computational Linguistics, 14</w:t>
      </w:r>
      <w:r>
        <w:t xml:space="preserve">(4), 35–84.</w:t>
      </w:r>
    </w:p>
    <w:p>
      <w:pPr>
        <w:pStyle w:val="BodyText"/>
      </w:pPr>
      <w:r>
        <w:t xml:space="preserve">Xie, T., Zhang, D., Chen, J., Li, X., Zhao, S., Cao, R., Hua, T. J., Cheng, Z., Shin, D., Lei, F., Liu, Y., Xu, Y., Zhou, S., Savarese, S., Xiong, C., Zhong, V., &amp; Yu, T.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Yao, S., Zhao, J., Yu, D., Du, N., Shafran, I., Narasimhan, K., &amp; Cao, Y. (2023). ReAct: Synergizing Reasoning and Acting in Language Models. In</w:t>
      </w:r>
      <w:r>
        <w:t xml:space="preserve"> </w:t>
      </w:r>
      <w:r>
        <w:rPr>
          <w:i/>
          <w:iCs/>
        </w:rPr>
        <w:t xml:space="preserve">Proceedings of ICLR 2023</w:t>
      </w:r>
      <w:r>
        <w:t xml:space="preserve">.</w:t>
      </w:r>
    </w:p>
    <w:p>
      <w:pPr>
        <w:pStyle w:val="BodyText"/>
      </w:pPr>
      <w:r>
        <w:t xml:space="preserve">Yuan, M., Zhou, Z., Xiong, X., et al. (2026). OSWorld 2.0: Benchmarking Computer Use Agents on Long-Horizon Real-World Tasks.</w:t>
      </w:r>
      <w:r>
        <w:t xml:space="preserve"> </w:t>
      </w:r>
      <w:r>
        <w:rPr>
          <w:i/>
          <w:iCs/>
        </w:rPr>
        <w:t xml:space="preserve">arXiv:2606.29537</w:t>
      </w:r>
      <w:r>
        <w:t xml:space="preserve">.</w:t>
      </w:r>
    </w:p>
    <w:p>
      <w:pPr>
        <w:pStyle w:val="BodyText"/>
      </w:pPr>
      <w:r>
        <w:t xml:space="preserve">Zhang, C., He, S., Qian, J., Li, B., Li, L., Qin, S., Kang, Y., Ma, M., Liu, G., Lin, Q., Rajmohan, S., Zhang, D., &amp; Zhang, Q. (2024). Large Language Model-Brained GUI Agents: A Survey.</w:t>
      </w:r>
      <w:r>
        <w:t xml:space="preserve"> </w:t>
      </w:r>
      <w:r>
        <w:rPr>
          <w:i/>
          <w:iCs/>
        </w:rPr>
        <w:t xml:space="preserve">arXiv:2411.18279</w:t>
      </w:r>
      <w:r>
        <w:t xml:space="preserve">.</w:t>
      </w:r>
    </w:p>
    <w:p>
      <w:pPr>
        <w:pStyle w:val="BodyText"/>
      </w:pPr>
      <w:r>
        <w:t xml:space="preserve">Zhang, C., He, S., Qian, J., Li, B., Li, L., Qin, S., Kang, Y., Ma, M., Liu, G., Lin, Q., Rajmohan, S., Zhang, D., &amp; Zhang, Q. (2025). UFO²: The Desktop AgentOS.</w:t>
      </w:r>
      <w:r>
        <w:t xml:space="preserve"> </w:t>
      </w:r>
      <w:r>
        <w:rPr>
          <w:i/>
          <w:iCs/>
        </w:rPr>
        <w:t xml:space="preserve">arXiv:2504.14603</w:t>
      </w:r>
      <w:r>
        <w:t xml:space="preserve">.</w:t>
      </w:r>
    </w:p>
    <w:p>
      <w:pPr>
        <w:pStyle w:val="BodyText"/>
      </w:pPr>
      <w:r>
        <w:t xml:space="preserve">Zhang, C., Yang, Z., Liu, J., Han, Y., Chen, X., Huang, Z., Fu, B., &amp; Yu, G. (2023). AppAgent: Multimodal Agents as Smartphone Users.</w:t>
      </w:r>
      <w:r>
        <w:t xml:space="preserve"> </w:t>
      </w:r>
      <w:r>
        <w:rPr>
          <w:i/>
          <w:iCs/>
        </w:rPr>
        <w:t xml:space="preserve">arXiv:2312.13771</w:t>
      </w:r>
      <w:r>
        <w:t xml:space="preserve">.</w:t>
      </w:r>
    </w:p>
    <w:p>
      <w:pPr>
        <w:pStyle w:val="BodyText"/>
      </w:pPr>
      <w:r>
        <w:t xml:space="preserve">Zheng, B., Gou, B., Kil, J., Sun, H., &amp; Su, Y. (2024). GPT-4V(ision) is a Generalist Web Agent, if Grounded. In</w:t>
      </w:r>
      <w:r>
        <w:t xml:space="preserve"> </w:t>
      </w:r>
      <w:r>
        <w:rPr>
          <w:i/>
          <w:iCs/>
        </w:rPr>
        <w:t xml:space="preserve">Proceedings of ICML 2024</w:t>
      </w:r>
      <w:r>
        <w:t xml:space="preserve">.</w:t>
      </w:r>
    </w:p>
    <w:p>
      <w:pPr>
        <w:pStyle w:val="BodyText"/>
      </w:pPr>
      <w:r>
        <w:t xml:space="preserve">Zhou, S., Xu, F. F., Zhu, H., Zhou, X., Lo, R., Sridhar, A., Cheng, X., Ou, T., Bisk, Y., Fried, D., Alon, U., &amp; Neubig, G. (2024). WebArena: A Realistic Web Environment for Building Autonomous Agents. In</w:t>
      </w:r>
      <w:r>
        <w:t xml:space="preserve"> </w:t>
      </w:r>
      <w:r>
        <w:rPr>
          <w:i/>
          <w:iCs/>
        </w:rPr>
        <w:t xml:space="preserve">Proceedings of ICLR 2024</w:t>
      </w:r>
      <w:r>
        <w:t xml:space="preserve">.</w:t>
      </w:r>
    </w:p>
    <w:p>
      <w:pPr>
        <w:pStyle w:val="BodyText"/>
      </w:pPr>
      <w:r>
        <w:t xml:space="preserve">Zhou, X., Zhang, S., Zhao, Y., Wei, J., Song, T., Cohan, A., &amp; Zhao, C. (2026). GUI vs. CLI: Execution Bottlenecks in Screen-Only and Skill-Mediated Computer-Use Agents.</w:t>
      </w:r>
      <w:r>
        <w:t xml:space="preserve"> </w:t>
      </w:r>
      <w:r>
        <w:rPr>
          <w:i/>
          <w:iCs/>
        </w:rPr>
        <w:t xml:space="preserve">arXiv:2606.24551</w:t>
      </w:r>
      <w:r>
        <w:t xml:space="preserve">.</w:t>
      </w:r>
    </w:p>
    <w:bookmarkStart w:id="13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5" w:name="appendix-a"/>
    <w:p>
      <w:pPr>
        <w:pStyle w:val="BodyText"/>
      </w:pPr>
      <w:r>
        <w:t xml:space="preserve">APPENDIX A</w:t>
      </w:r>
    </w:p>
    <w:p>
      <w:pPr>
        <w:pStyle w:val="BodyText"/>
      </w:pPr>
      <w:r>
        <w:t xml:space="preserve">System Usability Scale (SUS)</w:t>
      </w:r>
    </w:p>
    <w:bookmarkEnd w:id="125"/>
    <w:p>
      <w:pPr>
        <w:pStyle w:val="BodyText"/>
      </w:pPr>
      <w:r>
        <w:t xml:space="preserve">Administered immediately after each condition, referring to the interface just used.  Items are the standard ten-item instrument of Brooke (1996),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(2016) and Bangor and colleagues (2008).</w:t>
      </w:r>
    </w:p>
    <w:bookmarkStart w:id="126" w:name="appendix-b"/>
    <w:p>
      <w:pPr>
        <w:pStyle w:val="BodyText"/>
      </w:pPr>
      <w:r>
        <w:t xml:space="preserve">APPENDIX B</w:t>
      </w:r>
    </w:p>
    <w:p>
      <w:pPr>
        <w:pStyle w:val="BodyText"/>
      </w:pPr>
      <w:r>
        <w:t xml:space="preserve">NASA Task Load Index (NASA-TLX)</w:t>
      </w:r>
    </w:p>
    <w:bookmarkEnd w:id="12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(Hart and Staveland, 1988)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27" w:name="appendix-c"/>
    <w:p>
      <w:pPr>
        <w:pStyle w:val="BodyText"/>
      </w:pPr>
      <w:r>
        <w:t xml:space="preserve">APPENDIX C</w:t>
      </w:r>
    </w:p>
    <w:p>
      <w:pPr>
        <w:pStyle w:val="BodyText"/>
      </w:pPr>
      <w:r>
        <w:t xml:space="preserve">Custom Cross-Platform Task Suite</w:t>
      </w:r>
    </w:p>
    <w:bookmarkEnd w:id="12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28" w:name="appendix-d"/>
    <w:p>
      <w:pPr>
        <w:pStyle w:val="BodyText"/>
      </w:pPr>
      <w:r>
        <w:t xml:space="preserve">APPENDIX D</w:t>
      </w:r>
    </w:p>
    <w:p>
      <w:pPr>
        <w:pStyle w:val="BodyText"/>
      </w:pPr>
      <w:r>
        <w:t xml:space="preserve">Pre-Study Screening Questionnaire</w:t>
      </w:r>
    </w:p>
    <w:bookmarkEnd w:id="12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3.6.</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29" w:name="appendix-e"/>
    <w:p>
      <w:pPr>
        <w:pStyle w:val="BodyText"/>
      </w:pPr>
      <w:r>
        <w:t xml:space="preserve">APPENDIX E</w:t>
      </w:r>
    </w:p>
    <w:p>
      <w:pPr>
        <w:pStyle w:val="BodyText"/>
      </w:pPr>
      <w:r>
        <w:t xml:space="preserve">Participant Information Sheet</w:t>
      </w:r>
    </w:p>
    <w:bookmarkEnd w:id="129"/>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0" w:name="appendix-f"/>
    <w:p>
      <w:pPr>
        <w:pStyle w:val="BodyText"/>
      </w:pPr>
      <w:r>
        <w:t xml:space="preserve">APPENDIX F</w:t>
      </w:r>
    </w:p>
    <w:p>
      <w:pPr>
        <w:pStyle w:val="BodyText"/>
      </w:pPr>
      <w:r>
        <w:t xml:space="preserve">Informed Consent Form</w:t>
      </w:r>
    </w:p>
    <w:bookmarkEnd w:id="130"/>
    <w:p>
      <w:pPr>
        <w:pStyle w:val="BodyText"/>
      </w:pPr>
      <w:r>
        <w:rPr>
          <w:b/>
          <w:bCs/>
        </w:rPr>
        <w:t xml:space="preserve">Study title.</w:t>
      </w:r>
      <w:r>
        <w:t xml:space="preserve"> </w:t>
      </w:r>
      <w:r>
        <w:t xml:space="preserve">SynapseOS: Recoverability Analysis of Language-Model-Generated Shell Commands in a Conversational Interface Layer</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1" w:name="appendix-g"/>
    <w:p>
      <w:pPr>
        <w:pStyle w:val="BodyText"/>
      </w:pPr>
      <w:r>
        <w:t xml:space="preserve">APPENDIX G</w:t>
      </w:r>
    </w:p>
    <w:p>
      <w:pPr>
        <w:pStyle w:val="BodyText"/>
      </w:pPr>
      <w:r>
        <w:t xml:space="preserve">Session Facilitator Checklist</w:t>
      </w:r>
    </w:p>
    <w:bookmarkEnd w:id="13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2026-10-10T05:58:21Z</dcterms:created>
  <dcterms:modified xsi:type="dcterms:W3CDTF">2026-10-10T05:58:21Z</dcterms:modified>
</cp:coreProperties>
</file>

<file path=docProps/custom.xml><?xml version="1.0" encoding="utf-8"?>
<Properties xmlns="http://schemas.openxmlformats.org/officeDocument/2006/custom-properties" xmlns:vt="http://schemas.openxmlformats.org/officeDocument/2006/docPropsVTypes"/>
</file>