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22</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44</w:t>
      </w:r>
    </w:p>
    <w:p>
      <w:pPr>
        <w:pStyle w:val="BodyText"/>
        <w:tabs>
          <w:tab w:val="right" w:leader="dot" w:pos="9350"/>
        </w:tabs>
      </w:pPr>
      <w:hyperlink w:anchor="sec-chapter3">
        <w:r>
          <w:rPr/>
          <w:t xml:space="preserve">Chapter 3: METHODOLOGY</w:t>
        </w:r>
      </w:hyperlink>
      <w:r>
        <w:tab/>
      </w:r>
      <w:r>
        <w:t xml:space="preserve">47</w:t>
      </w:r>
    </w:p>
    <w:p>
      <w:pPr>
        <w:pStyle w:val="BodyText"/>
        <w:tabs>
          <w:tab w:val="right" w:leader="dot" w:pos="9350"/>
        </w:tabs>
      </w:pPr>
      <w:hyperlink w:anchor="sec-conceptual-framework">
        <w:r>
          <w:rPr/>
          <w:t xml:space="preserve">Conceptual Framework</w:t>
        </w:r>
      </w:hyperlink>
      <w:r>
        <w:tab/>
      </w:r>
      <w:r>
        <w:t xml:space="preserve">48</w:t>
      </w:r>
    </w:p>
    <w:p>
      <w:pPr>
        <w:pStyle w:val="BodyText"/>
        <w:tabs>
          <w:tab w:val="right" w:leader="dot" w:pos="9350"/>
        </w:tabs>
      </w:pPr>
      <w:hyperlink w:anchor="sec-system-env">
        <w:r>
          <w:rPr/>
          <w:t xml:space="preserve">System Environment Specifications</w:t>
        </w:r>
      </w:hyperlink>
      <w:r>
        <w:tab/>
      </w:r>
      <w:r>
        <w:t xml:space="preserve">50</w:t>
      </w:r>
    </w:p>
    <w:p>
      <w:pPr>
        <w:pStyle w:val="BodyText"/>
        <w:tabs>
          <w:tab w:val="right" w:leader="dot" w:pos="9350"/>
        </w:tabs>
      </w:pPr>
      <w:hyperlink w:anchor="sec1">
        <w:r>
          <w:rPr/>
          <w:t xml:space="preserve">Section 1: Dataset</w:t>
        </w:r>
      </w:hyperlink>
      <w:r>
        <w:tab/>
      </w:r>
      <w:r>
        <w:t xml:space="preserve">53</w:t>
      </w:r>
    </w:p>
    <w:p>
      <w:pPr>
        <w:pStyle w:val="BodyText"/>
        <w:tabs>
          <w:tab w:val="right" w:leader="dot" w:pos="9350"/>
        </w:tabs>
      </w:pPr>
      <w:hyperlink w:anchor="sec2">
        <w:r>
          <w:rPr/>
          <w:t xml:space="preserve">Section 2: Procedure / Experiment</w:t>
        </w:r>
      </w:hyperlink>
      <w:r>
        <w:tab/>
      </w:r>
      <w:r>
        <w:t xml:space="preserve">65</w:t>
      </w:r>
    </w:p>
    <w:p>
      <w:pPr>
        <w:pStyle w:val="BodyText"/>
        <w:tabs>
          <w:tab w:val="right" w:leader="dot" w:pos="9350"/>
        </w:tabs>
      </w:pPr>
      <w:hyperlink w:anchor="sec3">
        <w:r>
          <w:rPr/>
          <w:t xml:space="preserve">Section 3: System Testing</w:t>
        </w:r>
      </w:hyperlink>
      <w:r>
        <w:tab/>
      </w:r>
      <w:r>
        <w:t xml:space="preserve">81</w:t>
      </w:r>
    </w:p>
    <w:p>
      <w:pPr>
        <w:pStyle w:val="BodyText"/>
        <w:tabs>
          <w:tab w:val="right" w:leader="dot" w:pos="9350"/>
        </w:tabs>
      </w:pPr>
      <w:hyperlink w:anchor="sec-master-references">
        <w:r>
          <w:rPr/>
          <w:t xml:space="preserve">REFERENCES</w:t>
        </w:r>
      </w:hyperlink>
      <w:r>
        <w:tab/>
      </w:r>
      <w:r>
        <w:t xml:space="preserve">102</w:t>
      </w:r>
    </w:p>
    <w:p>
      <w:pPr>
        <w:pStyle w:val="BodyText"/>
        <w:tabs>
          <w:tab w:val="right" w:leader="dot" w:pos="9350"/>
        </w:tabs>
      </w:pPr>
      <w:hyperlink w:anchor="sec-appendices">
        <w:r>
          <w:rPr/>
          <w:t xml:space="preserve">APPENDICES</w:t>
        </w:r>
      </w:hyperlink>
      <w:r>
        <w:tab/>
      </w:r>
      <w:r>
        <w:t xml:space="preserve">109</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51</w:t>
      </w:r>
    </w:p>
    <w:p>
      <w:pPr>
        <w:pStyle w:val="BodyText"/>
        <w:tabs>
          <w:tab w:val="right" w:leader="dot" w:pos="9350"/>
        </w:tabs>
      </w:pPr>
      <w:hyperlink w:anchor="table-3-2">
        <w:r>
          <w:rPr/>
          <w:t xml:space="preserve">Table 3.2: SynapseOS minimum deployment requirements</w:t>
        </w:r>
      </w:hyperlink>
      <w:r>
        <w:tab/>
      </w:r>
      <w:r>
        <w:t xml:space="preserve">51</w:t>
      </w:r>
    </w:p>
    <w:p>
      <w:pPr>
        <w:pStyle w:val="BodyText"/>
        <w:tabs>
          <w:tab w:val="right" w:leader="dot" w:pos="9350"/>
        </w:tabs>
      </w:pPr>
      <w:hyperlink w:anchor="table-3-3">
        <w:r>
          <w:rPr/>
          <w:t xml:space="preserve">Table 3.3: Metrics for the recoverability algorithm, and what each is for</w:t>
        </w:r>
      </w:hyperlink>
      <w:r>
        <w:tab/>
      </w:r>
      <w:r>
        <w:t xml:space="preserve">83</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88</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93</w:t>
      </w:r>
    </w:p>
    <w:p>
      <w:pPr>
        <w:pStyle w:val="BodyText"/>
        <w:tabs>
          <w:tab w:val="right" w:leader="dot" w:pos="9350"/>
        </w:tabs>
      </w:pPr>
      <w:hyperlink w:anchor="appendix-c">
        <w:r>
          <w:rPr/>
          <w:t xml:space="preserve">Table C.1: Custom cross-platform task suite — core tasks</w:t>
        </w:r>
      </w:hyperlink>
      <w:r>
        <w:tab/>
      </w:r>
      <w:r>
        <w:t xml:space="preserve">112</w:t>
      </w:r>
    </w:p>
    <w:p>
      <w:pPr>
        <w:pStyle w:val="BodyText"/>
        <w:tabs>
          <w:tab w:val="right" w:leader="dot" w:pos="9350"/>
        </w:tabs>
      </w:pPr>
      <w:hyperlink w:anchor="appendix-c">
        <w:r>
          <w:rPr/>
          <w:t xml:space="preserve">Table C.2: Boundary tasks — outside shell expressibility</w:t>
        </w:r>
      </w:hyperlink>
      <w:r>
        <w:tab/>
      </w:r>
      <w:r>
        <w:t xml:space="preserve">114</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49</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its earliest serious system, the Berkeley UNIX Consultant, was operational by the late 1980s [48].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[12, 46], and computer-using agents</w:t>
      </w:r>
      <w:hyperlink w:anchor="ch1-fn2">
        <w:r>
          <w:rPr>
            <w:rStyle w:val="Hyperlink"/>
            <w:vertAlign w:val="superscript"/>
          </w:rPr>
          <w:t xml:space="preserve">2</w:t>
        </w:r>
      </w:hyperlink>
      <w:r>
        <w:t xml:space="preserve"> </w:t>
      </w:r>
      <w:r>
        <w:t xml:space="preserve">built on them operate desktop, mobile, and web applications [52, 53, 55, 56].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[12], as in the dangerous-command check of OpenAI’s Codex CLI [31] and cc-safety-net, a guard used with several AI coding agents [20].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[12],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[24, 53], the Linux work that exists serves servers and agents rather than an end user’s desktop [1, 12], and controlled comparisons with the conventional graphical workflow cover narrow slices such as a single application [25].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[7, 19, 43]: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asking,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most file-destroying commands run without asking (Section 1.5) [20, 31].  The recoverability analysis can be placed in front of any system that executes generated shell commands,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[13, 32, 33],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[49],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showed the same pattern, but rests on 19 losses and an earlier build of the analysis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[13]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[19] and are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[52],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0/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[12] proposes guardrails of this kind, together with summaries of what a command would affect and selective undo, but leaves the mechanisms for both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[12]</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[24],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[25], compares an API-first agent with unaided manual operation by people in Microsoft Word, in a within-subjects design with a cloud-hosted frontier model, and Zhou and colleagues compare screen-only graphical agents with command-line agents across 440 matched desktop tasks [57].</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[37],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[21]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Neither AgentOS [24], a research direction without a built system, nor UFO² [53],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[44,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a role analogous to the one the analysis and its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algorithm is evaluated against ground truth observed by executing each command that acts on files, with the 80 that act outside the filesystem labeled from a fixed table of state-changing tools; execution is the basis Westenfelder and colleagues also use for judging whether a generated Bash command does what was intended [46], and each comparison with a baseline is paired, because both systems are scored on the same commands (Chapter 3, Section 3.1).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[32] and the reversibility-and-guardrail framing of NaSh [12]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recovery mechanisms from snapshots, including ANOLISA’s [1], to operating system transactions [5, 10, 34, 36, 38] restore after the fact, but wholesale or only on a system built for it,</w:t>
      </w:r>
      <w:r>
        <w:t xml:space="preserve"> </w:t>
      </w:r>
      <w:r>
        <w:rPr>
          <w:i/>
          <w:iCs/>
        </w:rPr>
        <w:t xml:space="preserve">try</w:t>
      </w:r>
      <w:r>
        <w:t xml:space="preserve"> </w:t>
      </w:r>
      <w:r>
        <w:t xml:space="preserve">[21] previews a command by running it, and ToolEmu [37]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and the critique of natural-language interaction from direct manipulation [6, 17, 26, 30, 40–42], together with the controlled comparison of Whiteside and colleagues [47], cautions that a conversational interface must earn its place, which shapes the platform’s design.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could address.  The evaluation literature [49, 51, 52]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guard deciding by permission and every shipped recovery restoring by snapshot;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0/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because it evaluates computer-using agents in real operating system environments with real applications [49], which allows the platform’s results to be situated within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fifth,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t xml:space="preserve">V ⊕ E is V updated with the creations, removals, and moves in E</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 (A ; B), (A &amp;&amp;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wd, V)</w:t>
      </w:r>
      <w:r>
        <w:t xml:space="preserve"> </w:t>
      </w:r>
      <w:r>
        <w:rPr>
          <w:b/>
          <w:bCs/>
        </w:rPr>
        <w:t xml:space="preserve">return</w:t>
      </w:r>
      <w:r>
        <w:t xml:space="preserve"> </w:t>
      </w:r>
      <w:r>
        <w:t xml:space="preserve">E</w:t>
      </w:r>
      <w:r>
        <w:rPr>
          <w:vertAlign w:val="subscript"/>
        </w:rPr>
        <w:t xml:space="preserve">A</w:t>
      </w:r>
      <w:r>
        <w:t xml:space="preserve"> </w:t>
      </w:r>
      <w:r>
        <w:t xml:space="preserve">∪ EFFECTS(B, wd, V ⊕ E</w:t>
      </w:r>
      <w:r>
        <w:rPr>
          <w:vertAlign w:val="subscript"/>
        </w:rPr>
        <w:t xml:space="preserve">A</w:t>
      </w:r>
      <w:r>
        <w:t xml:space="preserve">) // B sees what A did</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the union, over w in EXPAND(W) in order, of</w:t>
      </w:r>
      <w:r>
        <w:t xml:space="preserve"> </w:t>
      </w:r>
      <w:r>
        <w:t xml:space="preserve">EFFECTS(body[x := w], wd, V), V updated after each item</w:t>
      </w:r>
      <w:r>
        <w:t xml:space="preserve"> </w:t>
      </w:r>
      <w:r>
        <w:rPr>
          <w:b/>
          <w:bCs/>
        </w:rPr>
        <w:t xml:space="preserve">else if</w:t>
      </w:r>
      <w:r>
        <w:t xml:space="preserve"> </w:t>
      </w:r>
      <w:r>
        <w:t xml:space="preserve">node is sh -c s, eval, or a wrapper such as sudo</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find -delete or -exec, xargs, $( ), tar -x, unzip, rsync, git clean</w:t>
      </w:r>
      <w:r>
        <w:t xml:space="preserve"> </w:t>
      </w:r>
      <w:r>
        <w:t xml:space="preserve">T ← RESOLVE(node, wd, V)</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wd, V)</w:t>
      </w:r>
      <w:r>
        <w:t xml:space="preserve"> </w:t>
      </w:r>
      <w:r>
        <w:rPr>
          <w:b/>
          <w:bCs/>
        </w:rPr>
        <w:t xml:space="preserve">else</w:t>
      </w:r>
      <w:r>
        <w:t xml:space="preserve"> </w:t>
      </w:r>
      <w:r>
        <w:t xml:space="preserve">// a simple command; argument-aware; no rule gives {UNKNOWN}</w:t>
      </w:r>
      <w:r>
        <w:t xml:space="preserve"> </w:t>
      </w:r>
      <w:r>
        <w:rPr>
          <w:b/>
          <w:bCs/>
        </w:rPr>
        <w:t xml:space="preserve">return</w:t>
      </w:r>
      <w:r>
        <w:t xml:space="preserve"> </w:t>
      </w:r>
      <w:r>
        <w:t xml:space="preserve">RULE(name, args,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wd,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wd, V) has an effect other than a read</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[12] and the preview-and-confirm design guideline validated with motor-impaired users of an LLM-mediated assistive-robotics interface [32].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4"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w:t>
      </w:r>
      <w:r>
        <w:t xml:space="preserve"> </w:t>
      </w:r>
      <w:r>
        <w:rPr>
          <w:i/>
          <w:iCs/>
        </w:rPr>
        <w:t xml:space="preserve">find</w:t>
      </w:r>
      <w:r>
        <w:t xml:space="preserve"> </w:t>
      </w:r>
      <w:r>
        <w:t xml:space="preserve">or a directory removal after an earlier change to the same tree on one line.  None was exercised by any command in this corpus;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with the analyzer and undo of round 6, the third corpus above, before that round’s recovery check led to its five undo fixes and before the six analyzer defects found after round 7 were fixed, and it was not regenerated with the final build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1"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End w:id="121"/>
    <w:bookmarkStart w:id="122"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paired tests above serve as the per-comparison checks.</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2"/>
    <w:bookmarkStart w:id="123"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3"/>
    <w:bookmarkEnd w:id="124"/>
    <w:bookmarkStart w:id="133" w:name="ch3-notes"/>
    <w:p>
      <w:pPr>
        <w:pStyle w:val="Heading2"/>
      </w:pPr>
      <w:r>
        <w:t xml:space="preserve">Notes</w:t>
      </w:r>
    </w:p>
    <w:p>
      <w:pPr>
        <w:pStyle w:val="Compact"/>
        <w:numPr>
          <w:ilvl w:val="0"/>
          <w:numId w:val="1020"/>
        </w:numPr>
      </w:pPr>
      <w:bookmarkStart w:id="12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5"/>
    </w:p>
    <w:p>
      <w:pPr>
        <w:pStyle w:val="Compact"/>
        <w:numPr>
          <w:ilvl w:val="0"/>
          <w:numId w:val="1020"/>
        </w:numPr>
      </w:pPr>
      <w:bookmarkStart w:id="126" w:name="ch3-fn2"/>
      <w:r>
        <w:t xml:space="preserve">Terminal User Interface: a text-based interactive interface that runs in a command-line terminal.  TUI mode requires no graphical display server or desktop environment and can be accessed remotely over SSH.</w:t>
      </w:r>
      <w:bookmarkEnd w:id="126"/>
    </w:p>
    <w:p>
      <w:pPr>
        <w:pStyle w:val="Compact"/>
        <w:numPr>
          <w:ilvl w:val="0"/>
          <w:numId w:val="1020"/>
        </w:numPr>
      </w:pPr>
      <w:bookmarkStart w:id="127" w:name="ch3-fn3"/>
      <w:r>
        <w:t xml:space="preserve">The SynapseOS prototype uses Qwen2.5-Coder-3B-Instruct, a code-specialized open-weights model selected for its NL2Bash accuracy.  See Section 2.1(d) for selection rationale and benchmark evidence.</w:t>
      </w:r>
      <w:bookmarkEnd w:id="127"/>
    </w:p>
    <w:p>
      <w:pPr>
        <w:pStyle w:val="Compact"/>
        <w:numPr>
          <w:ilvl w:val="0"/>
          <w:numId w:val="1020"/>
        </w:numPr>
      </w:pPr>
      <w:bookmarkStart w:id="12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8"/>
    </w:p>
    <w:p>
      <w:pPr>
        <w:pStyle w:val="Compact"/>
        <w:numPr>
          <w:ilvl w:val="0"/>
          <w:numId w:val="1020"/>
        </w:numPr>
      </w:pPr>
      <w:bookmarkStart w:id="129" w:name="ch3-fn5"/>
      <w:r>
        <w:t xml:space="preserve">Open-weights models make their trained parameters publicly available for local download and use; users run inference on their own hardware without routing queries to an external service provider.</w:t>
      </w:r>
      <w:bookmarkEnd w:id="129"/>
    </w:p>
    <w:p>
      <w:pPr>
        <w:pStyle w:val="Compact"/>
        <w:numPr>
          <w:ilvl w:val="0"/>
          <w:numId w:val="1020"/>
        </w:numPr>
      </w:pPr>
      <w:bookmarkStart w:id="130" w:name="ch3-fn6"/>
      <w:r>
        <w:t xml:space="preserve">Quantization reduces the numerical precision of model weights to lower memory requirements.  At 4-bit precision, a model that would otherwise require dedicated GPU memory can run on a standard CPU with modest RAM.</w:t>
      </w:r>
      <w:bookmarkEnd w:id="130"/>
    </w:p>
    <w:p>
      <w:pPr>
        <w:pStyle w:val="Compact"/>
        <w:numPr>
          <w:ilvl w:val="0"/>
          <w:numId w:val="1020"/>
        </w:numPr>
      </w:pPr>
      <w:bookmarkStart w:id="13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1"/>
    </w:p>
    <w:p>
      <w:pPr>
        <w:pStyle w:val="Compact"/>
        <w:numPr>
          <w:ilvl w:val="0"/>
          <w:numId w:val="1020"/>
        </w:numPr>
      </w:pPr>
      <w:bookmarkStart w:id="132" w:name="ch3-fn8"/>
      <w:r>
        <w:t xml:space="preserve">NL2Bash is a benchmark dataset pairing natural language command descriptions with their corresponding bash shell commands, used to evaluate a model’s accuracy in translating natural language into executable commands.</w:t>
      </w:r>
      <w:bookmarkEnd w:id="132"/>
    </w:p>
    <w:bookmarkEnd w:id="133"/>
    <w:bookmarkStart w:id="134" w:name="sec-master-references"/>
    <w:p>
      <w:pPr>
        <w:pStyle w:val="FirstParagraph"/>
      </w:pPr>
      <w:r>
        <w:t xml:space="preserve">REFERENCES</w:t>
      </w:r>
    </w:p>
    <w:bookmarkEnd w:id="134"/>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5" w:name="appendix-a"/>
    <w:p>
      <w:pPr>
        <w:pStyle w:val="BodyText"/>
      </w:pPr>
      <w:r>
        <w:t xml:space="preserve">APPENDIX A</w:t>
      </w:r>
    </w:p>
    <w:p>
      <w:pPr>
        <w:pStyle w:val="BodyText"/>
      </w:pPr>
      <w:r>
        <w:t xml:space="preserve">System Usability Scale (SUS)</w:t>
      </w:r>
    </w:p>
    <w:bookmarkEnd w:id="135"/>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6" w:name="appendix-b"/>
    <w:p>
      <w:pPr>
        <w:pStyle w:val="BodyText"/>
      </w:pPr>
      <w:r>
        <w:t xml:space="preserve">APPENDIX B</w:t>
      </w:r>
    </w:p>
    <w:p>
      <w:pPr>
        <w:pStyle w:val="BodyText"/>
      </w:pPr>
      <w:r>
        <w:t xml:space="preserve">NASA Task Load Index (NASA-TLX)</w:t>
      </w:r>
    </w:p>
    <w:bookmarkEnd w:id="13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7" w:name="appendix-c"/>
    <w:p>
      <w:pPr>
        <w:pStyle w:val="BodyText"/>
      </w:pPr>
      <w:r>
        <w:t xml:space="preserve">APPENDIX C</w:t>
      </w:r>
    </w:p>
    <w:p>
      <w:pPr>
        <w:pStyle w:val="BodyText"/>
      </w:pPr>
      <w:r>
        <w:t xml:space="preserve">Custom Cross-Platform Task Suite</w:t>
      </w:r>
    </w:p>
    <w:bookmarkEnd w:id="13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8" w:name="appendix-d"/>
    <w:p>
      <w:pPr>
        <w:pStyle w:val="BodyText"/>
      </w:pPr>
      <w:r>
        <w:t xml:space="preserve">APPENDIX D</w:t>
      </w:r>
    </w:p>
    <w:p>
      <w:pPr>
        <w:pStyle w:val="BodyText"/>
      </w:pPr>
      <w:r>
        <w:t xml:space="preserve">Pre-Study Screening Questionnaire</w:t>
      </w:r>
    </w:p>
    <w:bookmarkEnd w:id="13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9" w:name="appendix-e"/>
    <w:p>
      <w:pPr>
        <w:pStyle w:val="BodyText"/>
      </w:pPr>
      <w:r>
        <w:t xml:space="preserve">APPENDIX E</w:t>
      </w:r>
    </w:p>
    <w:p>
      <w:pPr>
        <w:pStyle w:val="BodyText"/>
      </w:pPr>
      <w:r>
        <w:t xml:space="preserve">Participant Information Sheet</w:t>
      </w:r>
    </w:p>
    <w:bookmarkEnd w:id="139"/>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0" w:name="appendix-f"/>
    <w:p>
      <w:pPr>
        <w:pStyle w:val="BodyText"/>
      </w:pPr>
      <w:r>
        <w:t xml:space="preserve">APPENDIX F</w:t>
      </w:r>
    </w:p>
    <w:p>
      <w:pPr>
        <w:pStyle w:val="BodyText"/>
      </w:pPr>
      <w:r>
        <w:t xml:space="preserve">Informed Consent Form</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1" w:name="appendix-g"/>
    <w:p>
      <w:pPr>
        <w:pStyle w:val="BodyText"/>
      </w:pPr>
      <w:r>
        <w:t xml:space="preserve">APPENDIX G</w:t>
      </w:r>
    </w:p>
    <w:p>
      <w:pPr>
        <w:pStyle w:val="BodyText"/>
      </w:pPr>
      <w:r>
        <w:t xml:space="preserve">Session Facilitator Checklist</w:t>
      </w:r>
    </w:p>
    <w:bookmarkEnd w:id="14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2026-10-12T12:57:55Z</dcterms:created>
  <dcterms:modified xsi:type="dcterms:W3CDTF">2026-10-12T12:57:55Z</dcterms:modified>
</cp:coreProperties>
</file>

<file path=docProps/custom.xml><?xml version="1.0" encoding="utf-8"?>
<Properties xmlns="http://schemas.openxmlformats.org/officeDocument/2006/custom-properties" xmlns:vt="http://schemas.openxmlformats.org/officeDocument/2006/docPropsVTypes"/>
</file>