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20</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51</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65</w:t>
      </w:r>
    </w:p>
    <w:p>
      <w:pPr>
        <w:pStyle w:val="BodyText"/>
        <w:tabs>
          <w:tab w:val="right" w:leader="dot" w:pos="9350"/>
        </w:tabs>
      </w:pPr>
      <w:hyperlink w:anchor="sec3">
        <w:r>
          <w:rPr/>
          <w:t xml:space="preserve">Section 3: System Testing</w:t>
        </w:r>
      </w:hyperlink>
      <w:r>
        <w:tab/>
      </w:r>
      <w:r>
        <w:t xml:space="preserve">82</w:t>
      </w:r>
    </w:p>
    <w:p>
      <w:pPr>
        <w:pStyle w:val="BodyText"/>
        <w:tabs>
          <w:tab w:val="right" w:leader="dot" w:pos="9350"/>
        </w:tabs>
      </w:pPr>
      <w:hyperlink w:anchor="sec-master-references">
        <w:r>
          <w:rPr/>
          <w:t xml:space="preserve">REFERENCES</w:t>
        </w:r>
      </w:hyperlink>
      <w:r>
        <w:tab/>
      </w:r>
      <w:r>
        <w:t xml:space="preserve">104</w:t>
      </w:r>
    </w:p>
    <w:p>
      <w:pPr>
        <w:pStyle w:val="BodyText"/>
        <w:tabs>
          <w:tab w:val="right" w:leader="dot" w:pos="9350"/>
        </w:tabs>
      </w:pPr>
      <w:hyperlink w:anchor="sec-appendices">
        <w:r>
          <w:rPr/>
          <w:t xml:space="preserve">APPENDICES</w:t>
        </w:r>
      </w:hyperlink>
      <w:r>
        <w:tab/>
      </w:r>
      <w:r>
        <w:t xml:space="preserve">111</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84</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89</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94</w:t>
      </w:r>
    </w:p>
    <w:p>
      <w:pPr>
        <w:pStyle w:val="BodyText"/>
        <w:tabs>
          <w:tab w:val="right" w:leader="dot" w:pos="9350"/>
        </w:tabs>
      </w:pPr>
      <w:hyperlink w:anchor="appendix-c">
        <w:r>
          <w:rPr/>
          <w:t xml:space="preserve">Table C.1: Custom cross-platform task suite — core tasks</w:t>
        </w:r>
      </w:hyperlink>
      <w:r>
        <w:tab/>
      </w:r>
      <w:r>
        <w:t xml:space="preserve">114</w:t>
      </w:r>
    </w:p>
    <w:p>
      <w:pPr>
        <w:pStyle w:val="BodyText"/>
        <w:tabs>
          <w:tab w:val="right" w:leader="dot" w:pos="9350"/>
        </w:tabs>
      </w:pPr>
      <w:hyperlink w:anchor="appendix-c">
        <w:r>
          <w:rPr/>
          <w:t xml:space="preserve">Table C.2: Boundary tasks — outside shell expressibility</w:t>
        </w:r>
      </w:hyperlink>
      <w:r>
        <w:tab/>
      </w:r>
      <w:r>
        <w:t xml:space="preserve">116</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50</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an early system for conversing with an operating system, the Berkeley UNIX Consultant,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[32] and cc-safety-net, a guard used with several AI coding agents [21].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[13], and no system in the surveyed literature, nor any shipping tool examined, determines before a generated command runs what it would destroy, or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[25, 54], the Linux work that exists serves servers and agents rather than an end user’s desktop [1, 13], and controlled comparisons with the conventional graphical workflow cover narrow slices such as a single application [26].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type-and-effect systems, which track what a program changes and not only what it computes [8, 20, 44]: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that destroy data or act outside the filesystem, it let none run without either asking or capturing first,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Its</w:t>
      </w:r>
      <w:r>
        <w:t xml:space="preserve"> </w:t>
      </w:r>
      <w:r>
        <w:rPr>
          <w:i/>
          <w:iCs/>
        </w:rPr>
        <w:t xml:space="preserve">capture coverage</w:t>
      </w:r>
      <w:r>
        <w:t xml:space="preserve">, the share of those 325 it captured beforehand and that undo then restored exactly, was 89.5%, where a fail-closed list, which asks before every command it does not recognize as read-only, restored none; and of the 372 commands that lose nothing, it asked about 32 to 45 (9% to 12%, depending on the policy), against that list’s 101 (27%).  On silent loss it ties the fail-closed list, both at zero, so its contribution is what it restores, and that it asks far less often than the fail-closed list and not significantly more often than the pattern list (32 to 45 against 30 of 372),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users fluent in neither existing interface and users fluent in both.</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which on this study’s corpus let 31% of the file-destroying commands run with neither a confirmation nor a capture, and the checks of Codex CLI and cc-safety-net 73% to 97% across their presets (Section 1.5) [21, 32].  The recoverability analysis can be placed in front of any system that runs generated Bash commands on a Debian-like Linux system, the setting studied here (Section 1.7),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[50],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(Chapter 3, Section 3.1(d), lists them by cause), and undo restored 630 of the 631 commands executed in the recovery check, the one failure being reported in Chapter 3.  Second, its per-command rules are a hand-written enumeration, which its composition builds on rather than replaces, and it resolves a command’s targets shortly before the command runs, so a file changed by another process in the interval is captured as it was when resolved.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Nor does it ask less often than the pattern list, which it does not significantly exceed (32 to 45 against 30 of 372), or than the coding-agent checks (1 to 15); and the deployed gate, which also consults the pattern list, asks about 58 to 67 (16% to 18%), still well below the fail-closed list’s 27%.  Its corpus was written by people, not by the model: a smaller partition of commands the deployed model wrote pointed the same way, but there the analysis let one loss through, on a command that partition’s own labeling rule mislabeled, and its advantage in capture coverage over the pattern list was not significant; it rests on 19 losses and an earlier build of the analysis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[20] and are given a full formal treatment by Talpin and Jouvelot [44],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Combining static and dynamic analysis is not new in general; what is specific to this study is the combination it uses, dry runs run only after the static analysis proves them read-only, feeding a recoverability verdict, and a recovery plan chosen over that verdict’s effects.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rather than the command’s name.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That guarantee is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informed by the component view of large language model (LLM)-brained graphical user interface (GUI) agents in the survey of Zhang and colleagues [53], whose perception, planning, and action components are recast here, with an added layer for the scope of an interface’s effect, as four layers for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13/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[48],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[13]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[32] and cc-safety-net [21],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shipped guard surveyed decides by</w:t>
      </w:r>
      <w:r>
        <w:t xml:space="preserve"> </w:t>
      </w:r>
      <w:r>
        <w:rPr>
          <w:i/>
          <w:iCs/>
        </w:rPr>
        <w:t xml:space="preserve">permission</w:t>
      </w:r>
      <w:r>
        <w:t xml:space="preserve">: the command is matched against an enumerated set of patterns judged dangerous, and is then allowed, refused, or escalated to the user, through allow-and-deny lists over command prefixes.  NaSh [13] goes further as a proposal, adding summaries of what a command would affect and selective undo to its guardrails, but leaves the mechanisms for both open.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[28] performs abstract interpretation over bash’s variable-expansion semantics to catch common expansion bugs and includes taint tracking, but is not concerned with what a script’s commands would do to the filesystem if executed correctly.  Smoosh [12]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[37],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[39].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[6].  Operating system transactions let a program group system calls so that their effects can be rolled back as a unit before they commit [35].  Intrusion recovery systems such as Taser log system activity so that the effects of an attack can be identified and reverted afterward while legitimate changes are kept [11].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[22].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and so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that a command should execute in about the time a caregiver would take, a cost the present study’s confirmation step adds to whenever it asks, and a reason it asks only where a command is not shown to be recoverable.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At its 2024 release the margin it measured was stark: humans achieved 72.36% success where the best evaluated model reached 12.24%.  Its successor, OSWorld 2.0 [52],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guard surveyed decides whether a command may run by matching it against a list of patterns or, like ToolEmu [38], measures risk across many runs;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[22]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[13, 47] and single-application work [33, 45]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prevented it from scaling beyond demonstration.  Neither AgentOS [25], a research direction without a built system, nor UFO² [54],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[54] that prefers structured access where available and falls back to vision.  Vision-only systems [30, 46]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[56] and the GUI-agents survey [53].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whose skills are augmented under the guidance of verifiers reach 69.3%, the highest of the three conditions, and the authors attribute most of the command-line deficit to incomplete skill coverage rather than to model capability [58].  The shell is bounded, then,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[13, 45] or through curated task benchmarks [10, 46, 50, 57].  User studies are rare, and the comparisons that do exist are narrow.  VoicePilot [33] conducts a substantive human-centered evaluation of LLM-based interaction, and AXIS [26]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[17, 54], Android [36, 46, 55], and the web [10, 56, 57] are each heavily represented;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[51]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surveyed systems guard a generated command by permission, matching it against an enumerated list of dangerous patterns, or recover by snapshot, and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[13]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observed ground truth.</w:t>
      </w:r>
    </w:p>
    <w:bookmarkEnd w:id="69"/>
    <w:bookmarkEnd w:id="70"/>
    <w:bookmarkStart w:id="71" w:name="sec2-9"/>
    <w:p>
      <w:pPr>
        <w:pStyle w:val="Heading2"/>
      </w:pPr>
      <w:r>
        <w:t xml:space="preserve">2.10 Review of the Methodological Literature</w:t>
      </w:r>
    </w:p>
    <w:p>
      <w:pPr>
        <w:pStyle w:val="FirstParagraph"/>
      </w:pPr>
      <w:r>
        <w:t xml:space="preserve">The evaluation of the algorithm, which is the study’s primary evidence, follows from what the algorithm claims, and its methods are stated first.  Its 450 human-written commands are drawn from a public dataset of natural-language descriptions paired with Bash commands, NL2Bash [24], so that part of it is not written by the people who wrote the analysis; the rest are templates written for the study and commands that act outside the filesystem (Chapter 3, Section 1.2(a)); and it is stratified by the label each command must carry so that the rare destructive commands are present in number.  Of its 777 commands, the 697 that act on files have ground truth observed rather than judged, by executing each in a sandbox and comparing the filesystem before and after, in the way that executable semantics of the shell are validated against what shells actually do [12] and that Westenfelder and colleagues judge whether a generated Bash command does what was intended [47]; the 80 that act outside the filesystem are labeled from a fixed table of state-changing tools.  Its comparisons are paired, because every system is scored on the same commands, and use the standard tests for paired proportions: McNemar’s exact test on the commands two systems handle differently, Wilson intervals for each proportion and Newcombe intervals for each difference, and Holm’s correction across each family of tests.  And its claim that composition and resolution, rather than the rule table, produce the result is tested by ablation: the analysis is rerun with each part switched off and the table kept.  Chapter 3, Sections 3.1 and 3.2 give the details.</w:t>
      </w:r>
    </w:p>
    <w:p>
      <w:pPr>
        <w:pStyle w:val="BodyText"/>
      </w:pPr>
      <w:r>
        <w:t xml:space="preserve">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[13, 45] establish feasibility but provide no performance evidence.  Curated task benchmarks [10, 50, 57] provide reproducible, quantitative measures but assess the autonomous task completion of agents acting on a user’s behalf rather than the performance of a human working through an interface.  Human-centered user studies, exemplified by VoicePilot [33] and AXIS [26],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[5] for perceived usability, with its interpretation grounded in subsequent large-sample analysis [40], and the NASA Task Load Index [15]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no participant is measured on an environment they have not used; familiarity then favors the baseline, so the comparison characterizes the platform against each participant’s practiced environment rather than isolating interface quality (Chapter 3, Section 1.2(d)), while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[9],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[8, 20, 44] supply its formal basis, the command guards of natural-language shells and coding agents [13, 21, 32] decide by permission rather than by effect, the static analyses of shell programs [2, 12, 28] target properties adjacent to recoverability but not recoverability itself, recovery mechanisms from snapshots, including ANOLISA’s [1], to operating system transactions [6, 11, 35, 37, 39] restore after the fact, but wholesale or only on a system built for it,</w:t>
      </w:r>
      <w:r>
        <w:t xml:space="preserve"> </w:t>
      </w:r>
      <w:r>
        <w:rPr>
          <w:i/>
          <w:iCs/>
        </w:rPr>
        <w:t xml:space="preserve">try</w:t>
      </w:r>
      <w:r>
        <w:t xml:space="preserve"> </w:t>
      </w:r>
      <w:r>
        <w:t xml:space="preserve">[22] previews a command by running it, and ToolEmu [38]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[49] and the methodological shift, driven by in-context reasoning [51], that made the current generation of systems possible, and the critique of natural-language interaction from direct manipulation [7, 18, 27, 31, 41–43], together with the controlled comparison of Whiteside and colleagues [48], cautions that a conversational interface must earn its place, which shapes the platform’s design.  The shell-and-command-line thread most directly related to the proposed design demonstrated that natural-language-to-Bash translation is tractable [47], that safety and reversibility are central concerns [13], and that local deployment is feasible [19], while leaving the extension from shell to session, and empirical user evaluation, as open work.  The graphical-agent literature across web, mobile, and desktop [10, 16, 17, 30, 36, 46, 54–57] established the field’s architectural patterns and its recurring bottleneck of visual grounding, while the accessibility thread [14, 29, 33, 34, 45] revealed a complementary limitation that a general conversational interface layer could address.  The evaluation literature [50, 52, 53]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shipped guard deciding by permission and every shipped recovery restoring by snapshot, with</w:t>
      </w:r>
      <w:r>
        <w:t xml:space="preserve"> </w:t>
      </w:r>
      <w:r>
        <w:rPr>
          <w:i/>
          <w:iCs/>
        </w:rPr>
        <w:t xml:space="preserve">try</w:t>
      </w:r>
      <w:r>
        <w:t xml:space="preserve"> </w:t>
      </w:r>
      <w:r>
        <w:t xml:space="preserve">[22]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13/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for scripting and automation, which passes each command through the same confirmation gate (Section 2.1(e)).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[24],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[50]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[24],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[50],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for the reason given in (b) above, its relation to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is tested rather than assumed absent (Section 3.7).</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the fail-closed list, which asks before every command it does not recognize as read-only,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whether or not the earlier part succeeded.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later part sees what an earlier one did as done only across</w:t>
      </w:r>
      <w:r>
        <w:t xml:space="preserve"> </w:t>
      </w:r>
      <w:r>
        <w:rPr>
          <w:i/>
          <w:iCs/>
        </w:rPr>
        <w:t xml:space="preserve">&amp;&amp;</w:t>
      </w:r>
      <w:r>
        <w:t xml:space="preserv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and a later write to that path is captured, and an earlier</w:t>
      </w:r>
      <w:r>
        <w:t xml:space="preserve"> </w:t>
      </w:r>
      <w:r>
        <w:rPr>
          <w:i/>
          <w:iCs/>
        </w:rPr>
        <w:t xml:space="preserve">cd</w:t>
      </w:r>
      <w:r>
        <w:t xml:space="preserve"> </w:t>
      </w:r>
      <w:r>
        <w:t xml:space="preserve">leaves the working directory unknown.  An assignment or</w:t>
      </w:r>
      <w:r>
        <w:t xml:space="preserve"> </w:t>
      </w:r>
      <w:r>
        <w:rPr>
          <w:i/>
          <w:iCs/>
        </w:rPr>
        <w:t xml:space="preserve">cd</w:t>
      </w:r>
      <w:r>
        <w:t xml:space="preserve"> </w:t>
      </w:r>
      <w:r>
        <w:t xml:space="preserve">inside a branch or loop outlives it, as in the shell, and a value on which the paths that may have run disagree is unknown afterwards.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Two parts of composition are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Choosing for each path the cheapest mechanism that suffices, and dropping the removals a captured directory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w:t>
      </w:r>
      <w:r>
        <w:t xml:space="preserve">← EFFECTS(A, S, V)</w:t>
      </w:r>
      <w:r>
        <w:t xml:space="preserve"> </w:t>
      </w:r>
      <w:r>
        <w:rPr>
          <w:b/>
          <w:bCs/>
        </w:rPr>
        <w:t xml:space="preserve">return</w:t>
      </w:r>
      <w:r>
        <w:t xml:space="preserve"> </w:t>
      </w:r>
      <w:r>
        <w:t xml:space="preserve">E</w:t>
      </w:r>
      <w:r>
        <w:rPr>
          <w:vertAlign w:val="subscript"/>
        </w:rPr>
        <w:t xml:space="preserve">A</w:t>
      </w:r>
      <w:r>
        <w:t xml:space="preserve"> </w:t>
      </w:r>
      <w:r>
        <w:t xml:space="preserve">∪ EFFECTS(B, S after A, V ⊕ E</w:t>
      </w:r>
      <w:r>
        <w:rPr>
          <w:vertAlign w:val="subscript"/>
        </w:rPr>
        <w:t xml:space="preserve">A</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w:t>
      </w:r>
      <w:r>
        <w:t xml:space="preserve">← EFFECTS(A, S, V) // B may run although A failed</w:t>
      </w:r>
      <w:r>
        <w:t xml:space="preserve"> </w:t>
      </w:r>
      <w:r>
        <w:t xml:space="preserve">S′ ← S after A (for |, S), its directory unknown if A ran cd</w:t>
      </w:r>
      <w:r>
        <w:t xml:space="preserve"> </w:t>
      </w:r>
      <w:r>
        <w:rPr>
          <w:b/>
          <w:bCs/>
        </w:rPr>
        <w:t xml:space="preserve">return</w:t>
      </w:r>
      <w:r>
        <w:t xml:space="preserve"> </w:t>
      </w:r>
      <w:r>
        <w:t xml:space="preserve">E</w:t>
      </w:r>
      <w:r>
        <w:rPr>
          <w:vertAlign w:val="subscript"/>
        </w:rPr>
        <w:t xml:space="preserve">A</w:t>
      </w:r>
      <w:r>
        <w:t xml:space="preserve"> </w:t>
      </w:r>
      <w:r>
        <w:t xml:space="preserve">∪ EFFECTS(B, S′, doubt(V ⊕ E</w:t>
      </w:r>
      <w:r>
        <w:rPr>
          <w:vertAlign w:val="subscript"/>
        </w:rPr>
        <w:t xml:space="preserve">A</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E ← the condition's effects ∪ every branch's or body's effects,</w:t>
      </w:r>
      <w:r>
        <w:t xml:space="preserve"> </w:t>
      </w:r>
      <w:r>
        <w:t xml:space="preserve">each analyzed from S</w:t>
      </w:r>
      <w:r>
        <w:t xml:space="preserve"> </w:t>
      </w:r>
      <w:r>
        <w:t xml:space="preserve">S ← S with a variable or directory on which the paths that may</w:t>
      </w:r>
      <w:r>
        <w:t xml:space="preserve"> </w:t>
      </w:r>
      <w:r>
        <w:t xml:space="preserve">have run disagree made unknown; V ← doubt(V ⊕ E)</w:t>
      </w:r>
      <w:r>
        <w:t xml:space="preserve"> </w:t>
      </w:r>
      <w:r>
        <w:rPr>
          <w:b/>
          <w:bCs/>
        </w:rPr>
        <w:t xml:space="preserve">return</w:t>
      </w:r>
      <w:r>
        <w:t xml:space="preserve"> </w:t>
      </w:r>
      <w:r>
        <w:t xml:space="preserve">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rPr>
          <w:b/>
          <w:bCs/>
        </w:rPr>
        <w:t xml:space="preserve">return</w:t>
      </w:r>
      <w:r>
        <w:t xml:space="preserve"> </w:t>
      </w:r>
      <w:r>
        <w:t xml:space="preserve">the union, over w in EXPAND(W) in order, of</w:t>
      </w:r>
      <w:r>
        <w:t xml:space="preserve"> </w:t>
      </w:r>
      <w:r>
        <w:t xml:space="preserve">EFFECTS(body, S[x := w], V), S and V carried between items</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[13] and asks only where it must, since a command that takes longer than a caregiver would is among the costs VoicePilot’s guidelines for LLM speech interfaces warn against [33].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[47]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composition coverage,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[32], ported from its source and verified against that source’s own unit tests, and cc-safety-net [21], a pre-execution guard used with several agentic coding tools, run unmodified under each of its three presets, all three reported in (d).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The open-source checks are compared with the analysis on silent loss by McNemar’s exact test and reported with Wilson intervals, outside the Holm family because they are a check on the first baseline rather than a primary comparison.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 command in this corpus met the conditions that trigger them; all have been fixed, and re-running the corpus with the fixed analyzer changed none of its decisions under any configuration compared.</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is not shown to ask more often than the list, and in exchange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still lets no destructive command run silently.  The analysis-in-use measures of Section 3.5(e) score the deployed gate.</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(1.9%, 3.2%,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an upper bound that makes the comparison in Table 3.4 conservative toward the list.  The 34 losses the analysis did not cover it asked about: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The same figures for every system, and for each command shape,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and on an earlier version of the analyser: this partition was generated with the analyzer and undo of round 6, the third corpus above, before that round’s recovery check led to its five undo fixes and before the seven analyzer defects found after round 7 were fixed, and it was not regenerated with the final build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10"/>
    <w:bookmarkStart w:id="111"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Nor does the corpus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 3.1(c) and (d) is therefore attributable to composition and resolution together, and not to the table they are sometimes mistaken for.</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[50]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Condition order is crossed with the two task forms in a 2×2 design, four groups of ten (Section 1.2(d)).  This distributes order effects across conditions; residual asymmetric transfer is tested through the condition × order term of the model in Section 3.6 and discussed in Section 3.7.</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same paired statistical test is applied to error rate differences between conditions.</w:t>
      </w:r>
    </w:p>
    <w:bookmarkEnd w:id="117"/>
    <w:bookmarkStart w:id="118" w:name="c-user-satisfaction"/>
    <w:p>
      <w:pPr>
        <w:pStyle w:val="Heading4"/>
      </w:pPr>
      <w:r>
        <w:t xml:space="preserve">c) User Satisfaction</w:t>
      </w:r>
    </w:p>
    <w:p>
      <w:pPr>
        <w:pStyle w:val="FirstParagraph"/>
      </w:pPr>
      <w:r>
        <w:t xml:space="preserve">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platform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 sample size is set by these platform comparisons;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exactly as the corpus is (Section 1.2(b)).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platform measures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each platform measure is modeled with condition, group, order, and task form as fixed effects and crossed random intercepts for participant and task: error, which is binary per task, by a logistic mixed model; completion time by a linear mixed model on its logarithm; and the SUS and NASA-TLX scores, which are taken once per condition, by a linear mixed model with a random intercept for participant, from which the condition × group and condition × order interactions are read; the paired tests above serve as the per-comparison checks.</w:t>
      </w:r>
    </w:p>
    <w:p>
      <w:pPr>
        <w:pStyle w:val="BodyText"/>
      </w:pPr>
      <w:r>
        <w:t xml:space="preserve">The benchmark task success rate of Section 3.5(f) is reported descriptively, as a proportion with its Wilson interval, as are the telemetry measures of Section 1.1(d) that are not otherwise analyzed (command latency and conversational turns per task), as means with confidence intervals per participant group.</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20"/>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20"/>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20"/>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20"/>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20"/>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20"/>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20"/>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20"/>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Give the five-minute orientation to the assigned first condition.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3 with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2026-10-12T13:42:02Z</dcterms:created>
  <dcterms:modified xsi:type="dcterms:W3CDTF">2026-10-12T13:42:02Z</dcterms:modified>
</cp:coreProperties>
</file>

<file path=docProps/custom.xml><?xml version="1.0" encoding="utf-8"?>
<Properties xmlns="http://schemas.openxmlformats.org/officeDocument/2006/custom-properties" xmlns:vt="http://schemas.openxmlformats.org/officeDocument/2006/docPropsVTypes"/>
</file>